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2E81" w:rsidRDefault="003303D7" w:rsidP="6EBC2213">
      <w:pPr>
        <w:pStyle w:val="Heading1"/>
        <w:spacing w:before="0"/>
        <w:ind w:left="-142"/>
        <w:rPr>
          <w:b/>
          <w:bCs/>
        </w:rPr>
      </w:pPr>
      <w:r w:rsidRPr="6EBC2213">
        <w:rPr>
          <w:b/>
          <w:bCs/>
        </w:rPr>
        <w:t>HI Level 1 Course Outline 1</w:t>
      </w:r>
    </w:p>
    <w:p w14:paraId="00000002" w14:textId="5CD53733" w:rsidR="008B2E81" w:rsidRDefault="003303D7" w:rsidP="000B432F">
      <w:pPr>
        <w:pStyle w:val="Heading1"/>
        <w:spacing w:before="120" w:after="120"/>
        <w:ind w:left="-142"/>
        <w:rPr>
          <w:sz w:val="26"/>
          <w:szCs w:val="26"/>
        </w:rPr>
      </w:pPr>
      <w:r>
        <w:rPr>
          <w:sz w:val="26"/>
          <w:szCs w:val="26"/>
        </w:rPr>
        <w:t>Guide to aid teacher planning only - designed to be printed or viewed in A3, landscape.</w:t>
      </w:r>
    </w:p>
    <w:p w14:paraId="00000003" w14:textId="77777777" w:rsidR="008B2E81" w:rsidRDefault="003303D7" w:rsidP="000B432F">
      <w:pPr>
        <w:pStyle w:val="Heading2"/>
        <w:spacing w:after="40"/>
        <w:ind w:left="-142"/>
      </w:pPr>
      <w:r>
        <w:t>Purpose</w:t>
      </w:r>
    </w:p>
    <w:p w14:paraId="00000004" w14:textId="77777777" w:rsidR="008B2E81" w:rsidRDefault="003303D7" w:rsidP="00AC6100">
      <w:pPr>
        <w:spacing w:after="120"/>
        <w:ind w:left="-142"/>
      </w:pPr>
      <w:r>
        <w:t>This example course outline has been produced to help teachers and schools understand the new History NCEA Level 1 Learning Matrix and Achievement Standards, and how they could be used to create year-long programmes of teaching and learning. It will also show possible assessment opportunities which arise from the teaching and learning.</w:t>
      </w:r>
    </w:p>
    <w:p w14:paraId="00000005" w14:textId="13D05EF7" w:rsidR="008B2E81" w:rsidRDefault="0055677C" w:rsidP="00AC6100">
      <w:pPr>
        <w:pStyle w:val="Heading2"/>
        <w:ind w:left="-142"/>
      </w:pPr>
      <w:r>
        <w:t>The Pursuit of Rangatiratanga</w:t>
      </w:r>
    </w:p>
    <w:tbl>
      <w:tblPr>
        <w:tblW w:w="226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15880"/>
        <w:gridCol w:w="1706"/>
      </w:tblGrid>
      <w:tr w:rsidR="00B35794" w14:paraId="4CE6D078" w14:textId="77777777" w:rsidTr="6EBC2213">
        <w:trPr>
          <w:trHeight w:val="827"/>
        </w:trPr>
        <w:tc>
          <w:tcPr>
            <w:tcW w:w="5097" w:type="dxa"/>
            <w:shd w:val="clear" w:color="auto" w:fill="DEEBF6"/>
          </w:tcPr>
          <w:p w14:paraId="00000006" w14:textId="77777777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880" w:type="dxa"/>
            <w:shd w:val="clear" w:color="auto" w:fill="DEEBF6"/>
          </w:tcPr>
          <w:p w14:paraId="1A603661" w14:textId="77777777" w:rsidR="00092E6A" w:rsidRPr="00092E6A" w:rsidRDefault="00092E6A" w:rsidP="00592214">
            <w:pPr>
              <w:tabs>
                <w:tab w:val="left" w:pos="3700"/>
              </w:tabs>
              <w:spacing w:line="276" w:lineRule="auto"/>
              <w:rPr>
                <w:rFonts w:asciiTheme="minorHAnsi" w:eastAsiaTheme="minorEastAsia" w:hAnsiTheme="minorHAnsi" w:cstheme="minorHAnsi"/>
                <w:b/>
                <w:color w:val="231F20"/>
                <w:lang w:val="en-US" w:eastAsia="en-US"/>
              </w:rPr>
            </w:pPr>
            <w:r w:rsidRPr="00092E6A">
              <w:rPr>
                <w:rFonts w:asciiTheme="minorHAnsi" w:eastAsiaTheme="minorEastAsia" w:hAnsiTheme="minorHAnsi" w:cstheme="minorHAnsi"/>
                <w:b/>
                <w:color w:val="231F20"/>
                <w:lang w:val="en-US" w:eastAsia="en-US"/>
              </w:rPr>
              <w:t>Learning activities and assessment opportunities</w:t>
            </w:r>
          </w:p>
          <w:p w14:paraId="00000008" w14:textId="7812DEFB" w:rsidR="008B2E81" w:rsidRDefault="00092E6A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rPr>
                <w:b/>
                <w:color w:val="231F20"/>
              </w:rPr>
            </w:pPr>
            <w:r w:rsidRPr="00092E6A">
              <w:rPr>
                <w:rFonts w:asciiTheme="minorHAnsi" w:eastAsiaTheme="minorHAnsi" w:hAnsiTheme="minorHAnsi" w:cstheme="minorHAnsi"/>
                <w:bCs/>
                <w:color w:val="231F20"/>
                <w:lang w:eastAsia="en-US"/>
              </w:rPr>
              <w:t>Throughout the year assessment for learning happens often. Evidence may also be collected for summative assessment.</w:t>
            </w:r>
          </w:p>
        </w:tc>
        <w:tc>
          <w:tcPr>
            <w:tcW w:w="1706" w:type="dxa"/>
            <w:shd w:val="clear" w:color="auto" w:fill="DEEBF6"/>
          </w:tcPr>
          <w:p w14:paraId="00000009" w14:textId="77777777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000000A" w14:textId="1ED6365D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</w:p>
        </w:tc>
      </w:tr>
      <w:tr w:rsidR="003F6BC0" w14:paraId="4DD8662E" w14:textId="77777777" w:rsidTr="6EBC2213">
        <w:trPr>
          <w:trHeight w:val="827"/>
        </w:trPr>
        <w:tc>
          <w:tcPr>
            <w:tcW w:w="5097" w:type="dxa"/>
          </w:tcPr>
          <w:p w14:paraId="0000000B" w14:textId="77777777" w:rsidR="008B2E81" w:rsidRPr="002975A9" w:rsidRDefault="008B2E81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b/>
                <w:color w:val="231F20"/>
              </w:rPr>
            </w:pPr>
          </w:p>
        </w:tc>
        <w:tc>
          <w:tcPr>
            <w:tcW w:w="15880" w:type="dxa"/>
          </w:tcPr>
          <w:p w14:paraId="0000000C" w14:textId="08753FC1" w:rsidR="008B2E81" w:rsidRDefault="003303D7" w:rsidP="00592214">
            <w:pPr>
              <w:pStyle w:val="Heading2"/>
              <w:tabs>
                <w:tab w:val="left" w:pos="3700"/>
              </w:tabs>
              <w:spacing w:after="40"/>
            </w:pPr>
            <w:bookmarkStart w:id="0" w:name="_heading=h.vac4uy9mpynd" w:colFirst="0" w:colLast="0"/>
            <w:bookmarkEnd w:id="0"/>
            <w:r>
              <w:t>Introduction to History</w:t>
            </w:r>
          </w:p>
          <w:p w14:paraId="0000000D" w14:textId="29CE1174" w:rsidR="008B2E81" w:rsidRDefault="00F14D0A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 xml:space="preserve">Students will </w:t>
            </w:r>
            <w:r w:rsidR="003303D7">
              <w:rPr>
                <w:color w:val="231F20"/>
              </w:rPr>
              <w:t xml:space="preserve">be taken through a series of </w:t>
            </w:r>
            <w:r>
              <w:rPr>
                <w:color w:val="231F20"/>
              </w:rPr>
              <w:t>introductory</w:t>
            </w:r>
            <w:r w:rsidR="003303D7">
              <w:rPr>
                <w:color w:val="231F20"/>
              </w:rPr>
              <w:t xml:space="preserve"> lessons</w:t>
            </w:r>
            <w:r>
              <w:rPr>
                <w:color w:val="231F20"/>
              </w:rPr>
              <w:t xml:space="preserve"> in which they will learn about</w:t>
            </w:r>
            <w:r w:rsidR="003303D7">
              <w:rPr>
                <w:color w:val="231F20"/>
              </w:rPr>
              <w:t xml:space="preserve"> </w:t>
            </w:r>
            <w:r w:rsidR="008E4465">
              <w:rPr>
                <w:color w:val="231F20"/>
              </w:rPr>
              <w:t xml:space="preserve">the </w:t>
            </w:r>
            <w:r w:rsidR="003303D7">
              <w:rPr>
                <w:color w:val="231F20"/>
              </w:rPr>
              <w:t xml:space="preserve">different historical skills </w:t>
            </w:r>
            <w:r w:rsidR="008E4465">
              <w:rPr>
                <w:color w:val="231F20"/>
              </w:rPr>
              <w:t>to be developed</w:t>
            </w:r>
            <w:r w:rsidR="003303D7">
              <w:rPr>
                <w:color w:val="231F20"/>
              </w:rPr>
              <w:t xml:space="preserve"> through</w:t>
            </w:r>
            <w:r w:rsidR="008E4465">
              <w:rPr>
                <w:color w:val="231F20"/>
              </w:rPr>
              <w:t>out</w:t>
            </w:r>
            <w:r w:rsidR="003303D7">
              <w:rPr>
                <w:color w:val="231F20"/>
              </w:rPr>
              <w:t xml:space="preserve"> the year.</w:t>
            </w:r>
          </w:p>
          <w:p w14:paraId="0000000E" w14:textId="26086E7A" w:rsidR="008B2E81" w:rsidRPr="00533E9A" w:rsidRDefault="00F14D0A" w:rsidP="0059221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ind w:left="723"/>
              <w:rPr>
                <w:color w:val="231F20"/>
              </w:rPr>
            </w:pPr>
            <w:r w:rsidRPr="00533E9A">
              <w:rPr>
                <w:color w:val="231F20"/>
              </w:rPr>
              <w:t>How to c</w:t>
            </w:r>
            <w:r w:rsidR="003303D7" w:rsidRPr="00533E9A">
              <w:rPr>
                <w:color w:val="231F20"/>
              </w:rPr>
              <w:t>onduct effective research</w:t>
            </w:r>
          </w:p>
          <w:p w14:paraId="0000000F" w14:textId="0B87B480" w:rsidR="008B2E81" w:rsidRPr="00533E9A" w:rsidRDefault="00F14D0A" w:rsidP="0059221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ind w:left="723"/>
              <w:rPr>
                <w:color w:val="231F20"/>
              </w:rPr>
            </w:pPr>
            <w:r w:rsidRPr="00533E9A">
              <w:rPr>
                <w:color w:val="231F20"/>
              </w:rPr>
              <w:t>How to select</w:t>
            </w:r>
            <w:r w:rsidR="003303D7" w:rsidRPr="00533E9A">
              <w:rPr>
                <w:color w:val="231F20"/>
              </w:rPr>
              <w:t xml:space="preserve"> primary and secondary </w:t>
            </w:r>
            <w:r w:rsidR="008E4465" w:rsidRPr="00533E9A">
              <w:rPr>
                <w:color w:val="231F20"/>
              </w:rPr>
              <w:t>sources</w:t>
            </w:r>
          </w:p>
          <w:p w14:paraId="00000010" w14:textId="0B37AC59" w:rsidR="008B2E81" w:rsidRPr="00533E9A" w:rsidRDefault="008E4465" w:rsidP="0059221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/>
              <w:ind w:left="723"/>
              <w:rPr>
                <w:color w:val="231F20"/>
              </w:rPr>
            </w:pPr>
            <w:r w:rsidRPr="00533E9A">
              <w:rPr>
                <w:color w:val="231F20"/>
              </w:rPr>
              <w:t>How to annotate sources.</w:t>
            </w:r>
          </w:p>
        </w:tc>
        <w:tc>
          <w:tcPr>
            <w:tcW w:w="1706" w:type="dxa"/>
          </w:tcPr>
          <w:p w14:paraId="00000011" w14:textId="77777777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 weeks</w:t>
            </w:r>
          </w:p>
        </w:tc>
      </w:tr>
      <w:tr w:rsidR="001542E2" w14:paraId="01D4E3B5" w14:textId="77777777" w:rsidTr="6EBC2213">
        <w:trPr>
          <w:trHeight w:val="1134"/>
        </w:trPr>
        <w:tc>
          <w:tcPr>
            <w:tcW w:w="5097" w:type="dxa"/>
            <w:shd w:val="clear" w:color="auto" w:fill="auto"/>
          </w:tcPr>
          <w:p w14:paraId="00000012" w14:textId="77777777" w:rsidR="008B2E81" w:rsidRPr="002975A9" w:rsidRDefault="003303D7" w:rsidP="6EBC2213">
            <w:pPr>
              <w:spacing w:before="40" w:after="40"/>
              <w:rPr>
                <w:i/>
                <w:iCs/>
                <w:color w:val="231F20"/>
              </w:rPr>
            </w:pPr>
            <w:r w:rsidRPr="6EBC2213">
              <w:rPr>
                <w:i/>
                <w:iCs/>
                <w:color w:val="231F20"/>
              </w:rPr>
              <w:t xml:space="preserve">Explore how whakapapa, whanaungatanga, and </w:t>
            </w:r>
            <w:r w:rsidRPr="6EBC2213">
              <w:rPr>
                <w:i/>
                <w:iCs/>
                <w:color w:val="231F20"/>
                <w:lang w:val="mi-NZ"/>
              </w:rPr>
              <w:t xml:space="preserve">tūrangawaewae </w:t>
            </w:r>
            <w:r w:rsidRPr="6EBC2213">
              <w:rPr>
                <w:i/>
                <w:iCs/>
                <w:color w:val="231F20"/>
              </w:rPr>
              <w:t>have shaped the past.</w:t>
            </w:r>
          </w:p>
          <w:p w14:paraId="00000013" w14:textId="77777777" w:rsidR="008B2E81" w:rsidRPr="002975A9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Explore how mana has shaped the past.</w:t>
            </w:r>
          </w:p>
          <w:p w14:paraId="00000014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Explore the ethical dimensions of historical interpretation</w:t>
            </w:r>
          </w:p>
          <w:p w14:paraId="00000015" w14:textId="77777777" w:rsidR="008B2E81" w:rsidRPr="002975A9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Recognise that histories are constructed from sources and may differ in their construction</w:t>
            </w:r>
          </w:p>
          <w:p w14:paraId="00000016" w14:textId="77777777" w:rsidR="008B2E81" w:rsidRPr="002975A9" w:rsidRDefault="003303D7" w:rsidP="00592214">
            <w:pP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</w:rPr>
              <w:t>Develop an understanding of a historical research process including the strengths and limitations of different historical sources</w:t>
            </w:r>
          </w:p>
          <w:p w14:paraId="00000018" w14:textId="7FAF439A" w:rsidR="008B2E81" w:rsidRPr="002975A9" w:rsidRDefault="003303D7" w:rsidP="00592214">
            <w:pPr>
              <w:spacing w:before="40" w:after="12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 xml:space="preserve">Explore the importance of </w:t>
            </w:r>
            <w:proofErr w:type="spellStart"/>
            <w:r w:rsidRPr="002975A9">
              <w:rPr>
                <w:i/>
                <w:color w:val="231F20"/>
              </w:rPr>
              <w:t>vā</w:t>
            </w:r>
            <w:proofErr w:type="spellEnd"/>
            <w:r w:rsidRPr="002975A9">
              <w:rPr>
                <w:i/>
                <w:color w:val="231F20"/>
              </w:rPr>
              <w:t xml:space="preserve"> in shaping historical identities</w:t>
            </w:r>
            <w:r w:rsidR="00ED0038">
              <w:rPr>
                <w:i/>
                <w:color w:val="231F20"/>
              </w:rPr>
              <w:t>.</w:t>
            </w:r>
          </w:p>
        </w:tc>
        <w:tc>
          <w:tcPr>
            <w:tcW w:w="15880" w:type="dxa"/>
            <w:shd w:val="clear" w:color="auto" w:fill="auto"/>
          </w:tcPr>
          <w:p w14:paraId="00000019" w14:textId="77777777" w:rsidR="008B2E81" w:rsidRDefault="003303D7" w:rsidP="00592214">
            <w:pPr>
              <w:pStyle w:val="Heading2"/>
              <w:spacing w:after="40"/>
              <w:rPr>
                <w:color w:val="231F20"/>
              </w:rPr>
            </w:pPr>
            <w:r>
              <w:t>Waikato and Taranaki Wars</w:t>
            </w:r>
          </w:p>
          <w:p w14:paraId="2CC44AC6" w14:textId="31C533EF" w:rsidR="006351D6" w:rsidRDefault="1E3B7135" w:rsidP="00592214">
            <w:pPr>
              <w:widowControl w:val="0"/>
              <w:spacing w:before="40" w:after="0" w:line="276" w:lineRule="auto"/>
              <w:rPr>
                <w:b/>
                <w:bCs/>
                <w:color w:val="231F20"/>
              </w:rPr>
            </w:pPr>
            <w:r w:rsidRPr="70BADD68">
              <w:rPr>
                <w:b/>
                <w:bCs/>
                <w:color w:val="231F20"/>
              </w:rPr>
              <w:t xml:space="preserve">Background: Establishing the </w:t>
            </w:r>
            <w:r w:rsidR="38387D48" w:rsidRPr="70BADD68">
              <w:rPr>
                <w:b/>
                <w:bCs/>
                <w:color w:val="231F20"/>
              </w:rPr>
              <w:t>hi</w:t>
            </w:r>
            <w:r w:rsidRPr="70BADD68">
              <w:rPr>
                <w:b/>
                <w:bCs/>
                <w:color w:val="231F20"/>
              </w:rPr>
              <w:t xml:space="preserve">storical </w:t>
            </w:r>
            <w:r w:rsidR="1D859CAD" w:rsidRPr="70BADD68">
              <w:rPr>
                <w:b/>
                <w:bCs/>
                <w:color w:val="231F20"/>
              </w:rPr>
              <w:t>c</w:t>
            </w:r>
            <w:r w:rsidRPr="70BADD68">
              <w:rPr>
                <w:b/>
                <w:bCs/>
                <w:color w:val="231F20"/>
              </w:rPr>
              <w:t>ontext</w:t>
            </w:r>
          </w:p>
          <w:p w14:paraId="500520E9" w14:textId="2F9027C0" w:rsidR="006351D6" w:rsidRDefault="00977EE4" w:rsidP="00592214">
            <w:pPr>
              <w:widowControl w:val="0"/>
              <w:spacing w:after="40" w:line="276" w:lineRule="auto"/>
              <w:rPr>
                <w:color w:val="231F20"/>
              </w:rPr>
            </w:pPr>
            <w:r w:rsidRPr="43263E54">
              <w:rPr>
                <w:color w:val="231F20"/>
              </w:rPr>
              <w:t>Students will</w:t>
            </w:r>
          </w:p>
          <w:p w14:paraId="3EAC800E" w14:textId="43F60406" w:rsidR="004E4BE5" w:rsidRPr="006351D6" w:rsidRDefault="00977EE4" w:rsidP="00592214">
            <w:pPr>
              <w:pStyle w:val="ListParagraph"/>
              <w:widowControl w:val="0"/>
              <w:numPr>
                <w:ilvl w:val="0"/>
                <w:numId w:val="14"/>
              </w:numPr>
              <w:spacing w:before="40" w:after="40" w:line="276" w:lineRule="auto"/>
              <w:rPr>
                <w:color w:val="231F20"/>
              </w:rPr>
            </w:pPr>
            <w:r w:rsidRPr="006351D6">
              <w:rPr>
                <w:color w:val="231F20"/>
              </w:rPr>
              <w:t>w</w:t>
            </w:r>
            <w:r w:rsidR="003303D7" w:rsidRPr="006351D6">
              <w:rPr>
                <w:color w:val="231F20"/>
              </w:rPr>
              <w:t>ork in groups to conduct research</w:t>
            </w:r>
            <w:r w:rsidR="00652D1B" w:rsidRPr="006351D6">
              <w:rPr>
                <w:color w:val="231F20"/>
              </w:rPr>
              <w:t>, which may include:</w:t>
            </w:r>
          </w:p>
          <w:p w14:paraId="3FAAEA01" w14:textId="4B431DE2" w:rsidR="00652D1B" w:rsidRPr="00C675AD" w:rsidRDefault="00ED0038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>
              <w:rPr>
                <w:color w:val="231F20"/>
              </w:rPr>
              <w:t>f</w:t>
            </w:r>
            <w:r w:rsidR="00652D1B" w:rsidRPr="00C675AD">
              <w:rPr>
                <w:color w:val="231F20"/>
              </w:rPr>
              <w:t xml:space="preserve">inding </w:t>
            </w:r>
            <w:r w:rsidR="003303D7" w:rsidRPr="00C675AD">
              <w:rPr>
                <w:color w:val="231F20"/>
              </w:rPr>
              <w:t xml:space="preserve">primary and secondary sources on the history of Taranaki and/or Waikato Māori prior to </w:t>
            </w:r>
            <w:r w:rsidRPr="00C675AD">
              <w:rPr>
                <w:color w:val="231F20"/>
              </w:rPr>
              <w:t>1840</w:t>
            </w:r>
            <w:r>
              <w:rPr>
                <w:color w:val="231F20"/>
              </w:rPr>
              <w:t>.</w:t>
            </w:r>
          </w:p>
          <w:p w14:paraId="495F732C" w14:textId="3234864D" w:rsidR="00652D1B" w:rsidRPr="00C675AD" w:rsidRDefault="00ED0038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652D1B" w:rsidRPr="00C675AD">
              <w:rPr>
                <w:color w:val="231F20"/>
              </w:rPr>
              <w:t xml:space="preserve">xploring </w:t>
            </w:r>
            <w:r w:rsidR="009E7226" w:rsidRPr="00C675AD">
              <w:rPr>
                <w:color w:val="231F20"/>
              </w:rPr>
              <w:t>these</w:t>
            </w:r>
            <w:r w:rsidR="00652D1B" w:rsidRPr="00C675AD">
              <w:rPr>
                <w:color w:val="231F20"/>
              </w:rPr>
              <w:t xml:space="preserve"> sources</w:t>
            </w:r>
            <w:r w:rsidR="009E7226" w:rsidRPr="00C675AD">
              <w:rPr>
                <w:color w:val="231F20"/>
              </w:rPr>
              <w:t xml:space="preserve"> </w:t>
            </w:r>
            <w:r w:rsidR="003303D7" w:rsidRPr="00C675AD">
              <w:rPr>
                <w:color w:val="231F20"/>
              </w:rPr>
              <w:t>through the lens</w:t>
            </w:r>
            <w:r w:rsidR="00652D1B" w:rsidRPr="00C675AD">
              <w:rPr>
                <w:color w:val="231F20"/>
              </w:rPr>
              <w:t>es</w:t>
            </w:r>
            <w:r w:rsidR="003303D7" w:rsidRPr="00C675AD">
              <w:rPr>
                <w:color w:val="231F20"/>
              </w:rPr>
              <w:t xml:space="preserve"> of whakapapa and whanaungatanga</w:t>
            </w:r>
          </w:p>
          <w:p w14:paraId="0F7757F3" w14:textId="21E256EA" w:rsidR="00EA567F" w:rsidRPr="00C675AD" w:rsidRDefault="00ED0038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e</w:t>
            </w:r>
            <w:r w:rsidR="003303D7" w:rsidRPr="6EBC2213">
              <w:rPr>
                <w:color w:val="231F20"/>
              </w:rPr>
              <w:t>xplor</w:t>
            </w:r>
            <w:r w:rsidR="00652D1B" w:rsidRPr="6EBC2213">
              <w:rPr>
                <w:color w:val="231F20"/>
              </w:rPr>
              <w:t>ing</w:t>
            </w:r>
            <w:r w:rsidR="003303D7" w:rsidRPr="6EBC2213">
              <w:rPr>
                <w:color w:val="231F20"/>
              </w:rPr>
              <w:t xml:space="preserve"> the role of </w:t>
            </w:r>
            <w:r w:rsidR="003303D7" w:rsidRPr="6EBC2213">
              <w:rPr>
                <w:color w:val="231F20"/>
                <w:lang w:val="mi-NZ"/>
              </w:rPr>
              <w:t xml:space="preserve">Te </w:t>
            </w:r>
            <w:proofErr w:type="spellStart"/>
            <w:r w:rsidR="003303D7" w:rsidRPr="6EBC2213">
              <w:rPr>
                <w:color w:val="231F20"/>
              </w:rPr>
              <w:t>Tiriti</w:t>
            </w:r>
            <w:proofErr w:type="spellEnd"/>
            <w:r w:rsidR="003303D7" w:rsidRPr="6EBC2213">
              <w:rPr>
                <w:color w:val="231F20"/>
              </w:rPr>
              <w:t xml:space="preserve"> o Waitangi in shaping Māori and Pakeha relationships post 1840</w:t>
            </w:r>
            <w:r w:rsidRPr="6EBC2213">
              <w:rPr>
                <w:color w:val="231F20"/>
              </w:rPr>
              <w:t>; and/or</w:t>
            </w:r>
          </w:p>
          <w:p w14:paraId="60A4FB08" w14:textId="5D31CFD6" w:rsidR="001601A3" w:rsidRPr="00C675AD" w:rsidRDefault="00ED0038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120" w:line="276" w:lineRule="auto"/>
              <w:ind w:left="1434" w:hanging="357"/>
              <w:contextualSpacing w:val="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977EE4" w:rsidRPr="43263E54">
              <w:rPr>
                <w:color w:val="231F20"/>
              </w:rPr>
              <w:t xml:space="preserve">reating </w:t>
            </w:r>
            <w:r w:rsidR="003303D7" w:rsidRPr="43263E54">
              <w:rPr>
                <w:color w:val="231F20"/>
              </w:rPr>
              <w:t>an annotated image timeline of</w:t>
            </w:r>
            <w:r w:rsidR="00EA567F" w:rsidRPr="43263E54">
              <w:rPr>
                <w:color w:val="231F20"/>
              </w:rPr>
              <w:t xml:space="preserve"> the</w:t>
            </w:r>
            <w:r w:rsidR="003303D7" w:rsidRPr="43263E54">
              <w:rPr>
                <w:color w:val="231F20"/>
              </w:rPr>
              <w:t xml:space="preserve"> </w:t>
            </w:r>
            <w:r w:rsidR="00EA567F" w:rsidRPr="43263E54">
              <w:rPr>
                <w:color w:val="231F20"/>
              </w:rPr>
              <w:t xml:space="preserve">Taranaki </w:t>
            </w:r>
            <w:r w:rsidR="001601A3" w:rsidRPr="43263E54">
              <w:rPr>
                <w:color w:val="231F20"/>
              </w:rPr>
              <w:t>or</w:t>
            </w:r>
            <w:r w:rsidR="00EA567F" w:rsidRPr="43263E54">
              <w:rPr>
                <w:color w:val="231F20"/>
              </w:rPr>
              <w:t xml:space="preserve"> Waikato</w:t>
            </w:r>
            <w:r w:rsidR="00977EE4" w:rsidRPr="43263E54">
              <w:rPr>
                <w:color w:val="231F20"/>
              </w:rPr>
              <w:t xml:space="preserve"> </w:t>
            </w:r>
            <w:r w:rsidR="001601A3" w:rsidRPr="43263E54">
              <w:rPr>
                <w:color w:val="231F20"/>
              </w:rPr>
              <w:t xml:space="preserve">War, </w:t>
            </w:r>
            <w:r w:rsidR="00977EE4" w:rsidRPr="43263E54">
              <w:rPr>
                <w:color w:val="231F20"/>
              </w:rPr>
              <w:t>which identifies its causes, actions, and effects</w:t>
            </w:r>
            <w:r>
              <w:rPr>
                <w:color w:val="231F20"/>
              </w:rPr>
              <w:t>.</w:t>
            </w:r>
          </w:p>
          <w:p w14:paraId="0512896E" w14:textId="113463F7" w:rsidR="1CE19773" w:rsidRDefault="4B62B0BA" w:rsidP="00592214">
            <w:pPr>
              <w:spacing w:before="40" w:after="0" w:line="276" w:lineRule="auto"/>
              <w:rPr>
                <w:b/>
                <w:bCs/>
                <w:color w:val="231F20"/>
              </w:rPr>
            </w:pPr>
            <w:proofErr w:type="spellStart"/>
            <w:r w:rsidRPr="6EBC2213">
              <w:rPr>
                <w:b/>
                <w:bCs/>
                <w:color w:val="231F20"/>
              </w:rPr>
              <w:t>Kiingitanga</w:t>
            </w:r>
            <w:proofErr w:type="spellEnd"/>
            <w:r w:rsidR="0A82E018" w:rsidRPr="6EBC2213">
              <w:rPr>
                <w:b/>
                <w:bCs/>
                <w:color w:val="231F20"/>
              </w:rPr>
              <w:t xml:space="preserve">: </w:t>
            </w:r>
            <w:r w:rsidR="0F8593B9" w:rsidRPr="6EBC2213">
              <w:rPr>
                <w:b/>
                <w:bCs/>
                <w:color w:val="231F20"/>
              </w:rPr>
              <w:t>An assertion of mana</w:t>
            </w:r>
          </w:p>
          <w:p w14:paraId="288CC102" w14:textId="7A0EF14E" w:rsidR="44C3BF3E" w:rsidRDefault="44C3BF3E" w:rsidP="00C37257">
            <w:pPr>
              <w:spacing w:after="120" w:line="276" w:lineRule="auto"/>
              <w:rPr>
                <w:color w:val="231F20"/>
              </w:rPr>
            </w:pPr>
            <w:r w:rsidRPr="46F8E549">
              <w:rPr>
                <w:color w:val="231F20"/>
              </w:rPr>
              <w:t>Students will</w:t>
            </w:r>
          </w:p>
          <w:p w14:paraId="44A422B7" w14:textId="6023F3FF" w:rsidR="00652D1B" w:rsidRPr="00C675AD" w:rsidRDefault="00652D1B" w:rsidP="00592214">
            <w:pPr>
              <w:pStyle w:val="ListParagraph"/>
              <w:widowControl w:val="0"/>
              <w:numPr>
                <w:ilvl w:val="0"/>
                <w:numId w:val="7"/>
              </w:numP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e</w:t>
            </w:r>
            <w:r w:rsidR="001601A3" w:rsidRPr="6EBC2213">
              <w:rPr>
                <w:color w:val="231F20"/>
              </w:rPr>
              <w:t>xplor</w:t>
            </w:r>
            <w:r w:rsidRPr="6EBC2213">
              <w:rPr>
                <w:color w:val="231F20"/>
              </w:rPr>
              <w:t>e</w:t>
            </w:r>
            <w:r w:rsidR="001601A3" w:rsidRPr="6EBC2213">
              <w:rPr>
                <w:color w:val="231F20"/>
              </w:rPr>
              <w:t xml:space="preserve"> </w:t>
            </w:r>
            <w:r w:rsidR="003303D7" w:rsidRPr="6EBC2213">
              <w:rPr>
                <w:color w:val="231F20"/>
              </w:rPr>
              <w:t xml:space="preserve">mana and whakapapa in relation to the formation of the </w:t>
            </w:r>
            <w:proofErr w:type="spellStart"/>
            <w:r w:rsidR="4B62B0BA" w:rsidRPr="6EBC2213">
              <w:rPr>
                <w:color w:val="231F20"/>
              </w:rPr>
              <w:t>Kiingitanga</w:t>
            </w:r>
            <w:proofErr w:type="spellEnd"/>
            <w:r w:rsidR="003303D7" w:rsidRPr="6EBC2213">
              <w:rPr>
                <w:color w:val="231F20"/>
              </w:rPr>
              <w:t xml:space="preserve">, the response of the </w:t>
            </w:r>
            <w:r w:rsidR="003303D7" w:rsidRPr="6EBC2213">
              <w:rPr>
                <w:color w:val="231F20"/>
                <w:lang w:val="mi-NZ"/>
              </w:rPr>
              <w:t>Kāwanatanga</w:t>
            </w:r>
            <w:r w:rsidR="003303D7" w:rsidRPr="6EBC2213">
              <w:rPr>
                <w:color w:val="231F20"/>
              </w:rPr>
              <w:t>, and the actions and decisions of individuals and groups.</w:t>
            </w:r>
            <w:r w:rsidRPr="6EBC2213">
              <w:rPr>
                <w:color w:val="231F20"/>
              </w:rPr>
              <w:t xml:space="preserve"> This may include:</w:t>
            </w:r>
          </w:p>
          <w:p w14:paraId="3EC09D8B" w14:textId="502CBBAA" w:rsidR="00DA6DB2" w:rsidRPr="00C675AD" w:rsidRDefault="00592214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w</w:t>
            </w:r>
            <w:r w:rsidR="003303D7" w:rsidRPr="6EBC2213">
              <w:rPr>
                <w:color w:val="231F20"/>
              </w:rPr>
              <w:t>atch</w:t>
            </w:r>
            <w:r w:rsidR="00652D1B" w:rsidRPr="6EBC2213">
              <w:rPr>
                <w:color w:val="231F20"/>
              </w:rPr>
              <w:t>ing</w:t>
            </w:r>
            <w:r w:rsidR="003303D7" w:rsidRPr="6EBC2213">
              <w:rPr>
                <w:color w:val="231F20"/>
              </w:rPr>
              <w:t xml:space="preserve"> </w:t>
            </w:r>
            <w:r w:rsidR="003303D7" w:rsidRPr="6EBC2213">
              <w:rPr>
                <w:i/>
                <w:iCs/>
                <w:color w:val="231F20"/>
              </w:rPr>
              <w:t>Stories of Tainui</w:t>
            </w:r>
            <w:r w:rsidR="003303D7" w:rsidRPr="6EBC2213">
              <w:rPr>
                <w:color w:val="231F20"/>
              </w:rPr>
              <w:t xml:space="preserve"> and </w:t>
            </w:r>
            <w:proofErr w:type="spellStart"/>
            <w:r w:rsidR="4B62B0BA" w:rsidRPr="6EBC2213">
              <w:rPr>
                <w:i/>
                <w:iCs/>
                <w:color w:val="231F20"/>
              </w:rPr>
              <w:t>Kiingitanga</w:t>
            </w:r>
            <w:proofErr w:type="spellEnd"/>
            <w:r w:rsidR="003303D7" w:rsidRPr="6EBC2213">
              <w:rPr>
                <w:color w:val="231F20"/>
              </w:rPr>
              <w:t xml:space="preserve"> documentaries</w:t>
            </w:r>
          </w:p>
          <w:p w14:paraId="0000001E" w14:textId="1B0E8DC0" w:rsidR="008B2E81" w:rsidRPr="00C675AD" w:rsidRDefault="00592214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r</w:t>
            </w:r>
            <w:r w:rsidR="003303D7" w:rsidRPr="6EBC2213">
              <w:rPr>
                <w:color w:val="231F20"/>
              </w:rPr>
              <w:t>ead</w:t>
            </w:r>
            <w:r w:rsidR="00DA6DB2" w:rsidRPr="6EBC2213">
              <w:rPr>
                <w:color w:val="231F20"/>
              </w:rPr>
              <w:t>ing</w:t>
            </w:r>
            <w:r w:rsidR="003303D7" w:rsidRPr="6EBC2213">
              <w:rPr>
                <w:color w:val="231F20"/>
              </w:rPr>
              <w:t xml:space="preserve"> Māori-</w:t>
            </w:r>
            <w:r w:rsidR="00DA6DB2" w:rsidRPr="6EBC2213">
              <w:rPr>
                <w:color w:val="231F20"/>
              </w:rPr>
              <w:t>authored</w:t>
            </w:r>
            <w:r w:rsidR="003303D7" w:rsidRPr="6EBC2213">
              <w:rPr>
                <w:color w:val="231F20"/>
              </w:rPr>
              <w:t xml:space="preserve"> sources to identify Māori understandings about the establishment of the </w:t>
            </w:r>
            <w:proofErr w:type="spellStart"/>
            <w:r w:rsidR="4B62B0BA" w:rsidRPr="6EBC2213">
              <w:rPr>
                <w:color w:val="231F20"/>
              </w:rPr>
              <w:t>Kiingitanga</w:t>
            </w:r>
            <w:proofErr w:type="spellEnd"/>
            <w:r w:rsidR="6A9B9831" w:rsidRPr="6EBC2213">
              <w:rPr>
                <w:color w:val="231F20"/>
              </w:rPr>
              <w:t xml:space="preserve"> and the role of Wiremu </w:t>
            </w:r>
            <w:r w:rsidR="6A9B9831" w:rsidRPr="6EBC2213">
              <w:rPr>
                <w:color w:val="231F20"/>
                <w:lang w:val="mi-NZ"/>
              </w:rPr>
              <w:t xml:space="preserve">Tamihana </w:t>
            </w:r>
          </w:p>
          <w:p w14:paraId="714C1F69" w14:textId="161034C2" w:rsidR="008B2E81" w:rsidRPr="00C675AD" w:rsidRDefault="00592214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12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e</w:t>
            </w:r>
            <w:r w:rsidR="00DA6DB2" w:rsidRPr="6EBC2213">
              <w:rPr>
                <w:color w:val="231F20"/>
              </w:rPr>
              <w:t>xamining</w:t>
            </w:r>
            <w:r w:rsidR="009D301C" w:rsidRPr="6EBC2213">
              <w:rPr>
                <w:color w:val="231F20"/>
              </w:rPr>
              <w:t xml:space="preserve"> </w:t>
            </w:r>
            <w:r w:rsidR="00DA6DB2" w:rsidRPr="6EBC2213">
              <w:rPr>
                <w:color w:val="231F20"/>
              </w:rPr>
              <w:t>a range of primary and secondary sources (including newspaper reports, letters, Parliamentary reports)</w:t>
            </w:r>
            <w:r w:rsidR="009D301C" w:rsidRPr="6EBC2213">
              <w:rPr>
                <w:color w:val="231F20"/>
              </w:rPr>
              <w:t xml:space="preserve"> to identify the narratives </w:t>
            </w:r>
            <w:r w:rsidR="003303D7" w:rsidRPr="6EBC2213">
              <w:rPr>
                <w:color w:val="231F20"/>
              </w:rPr>
              <w:t xml:space="preserve">constructed by the Crown about the </w:t>
            </w:r>
            <w:proofErr w:type="spellStart"/>
            <w:r w:rsidR="4B62B0BA" w:rsidRPr="6EBC2213">
              <w:rPr>
                <w:color w:val="231F20"/>
              </w:rPr>
              <w:t>Kiingitanga</w:t>
            </w:r>
            <w:proofErr w:type="spellEnd"/>
          </w:p>
          <w:p w14:paraId="17A387B5" w14:textId="5F80DA17" w:rsidR="66BF0C1E" w:rsidRDefault="66BF0C1E" w:rsidP="00C37257">
            <w:pPr>
              <w:spacing w:before="40" w:after="0" w:line="276" w:lineRule="auto"/>
              <w:rPr>
                <w:b/>
                <w:bCs/>
                <w:color w:val="231F20"/>
              </w:rPr>
            </w:pPr>
            <w:r w:rsidRPr="46F8E549">
              <w:rPr>
                <w:b/>
                <w:bCs/>
                <w:color w:val="231F20"/>
              </w:rPr>
              <w:t>The Waikato and Tar</w:t>
            </w:r>
            <w:r w:rsidR="191AF6AA" w:rsidRPr="46F8E549">
              <w:rPr>
                <w:b/>
                <w:bCs/>
                <w:color w:val="231F20"/>
              </w:rPr>
              <w:t xml:space="preserve">anaki </w:t>
            </w:r>
            <w:r w:rsidR="28465239" w:rsidRPr="46F8E549">
              <w:rPr>
                <w:b/>
                <w:bCs/>
                <w:color w:val="231F20"/>
              </w:rPr>
              <w:t xml:space="preserve">War </w:t>
            </w:r>
          </w:p>
          <w:p w14:paraId="2BBF5B0E" w14:textId="66FB17C0" w:rsidR="63E9B41B" w:rsidRDefault="63E9B41B" w:rsidP="00230F59">
            <w:pPr>
              <w:spacing w:after="40" w:line="276" w:lineRule="auto"/>
              <w:rPr>
                <w:color w:val="231F20"/>
              </w:rPr>
            </w:pPr>
            <w:r w:rsidRPr="46F8E549">
              <w:rPr>
                <w:color w:val="231F20"/>
              </w:rPr>
              <w:t>Students will</w:t>
            </w:r>
          </w:p>
          <w:p w14:paraId="0000001F" w14:textId="755AFB3B" w:rsidR="008B2E81" w:rsidRPr="00C675AD" w:rsidRDefault="00592214" w:rsidP="6EBC2213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e</w:t>
            </w:r>
            <w:r w:rsidR="050E7F1D" w:rsidRPr="6EBC2213">
              <w:rPr>
                <w:color w:val="231F20"/>
              </w:rPr>
              <w:t xml:space="preserve">xamine a range of primary and secondary sources to </w:t>
            </w:r>
            <w:r w:rsidR="6D51CDCE" w:rsidRPr="6EBC2213">
              <w:rPr>
                <w:color w:val="231F20"/>
              </w:rPr>
              <w:t xml:space="preserve">explore the role </w:t>
            </w:r>
            <w:r w:rsidR="00543B1E" w:rsidRPr="6EBC2213">
              <w:rPr>
                <w:color w:val="231F20"/>
              </w:rPr>
              <w:t xml:space="preserve">Te </w:t>
            </w:r>
            <w:proofErr w:type="spellStart"/>
            <w:r w:rsidR="71C94A53" w:rsidRPr="6EBC2213">
              <w:rPr>
                <w:color w:val="231F20"/>
              </w:rPr>
              <w:t>Ā</w:t>
            </w:r>
            <w:r w:rsidR="00543B1E" w:rsidRPr="6EBC2213">
              <w:rPr>
                <w:color w:val="231F20"/>
              </w:rPr>
              <w:t>ti</w:t>
            </w:r>
            <w:proofErr w:type="spellEnd"/>
            <w:r w:rsidR="00543B1E" w:rsidRPr="6EBC2213">
              <w:rPr>
                <w:color w:val="231F20"/>
              </w:rPr>
              <w:t xml:space="preserve"> Awa</w:t>
            </w:r>
            <w:r w:rsidR="31D91742" w:rsidRPr="6EBC2213">
              <w:rPr>
                <w:color w:val="231F20"/>
              </w:rPr>
              <w:t xml:space="preserve">, </w:t>
            </w:r>
            <w:r w:rsidR="05C5355C" w:rsidRPr="6EBC2213">
              <w:rPr>
                <w:color w:val="231F20"/>
              </w:rPr>
              <w:t xml:space="preserve">Wiremu </w:t>
            </w:r>
            <w:proofErr w:type="spellStart"/>
            <w:r w:rsidR="05C5355C" w:rsidRPr="6EBC2213">
              <w:rPr>
                <w:color w:val="231F20"/>
              </w:rPr>
              <w:t>Kiingi</w:t>
            </w:r>
            <w:proofErr w:type="spellEnd"/>
            <w:r w:rsidR="05C5355C" w:rsidRPr="6EBC2213">
              <w:rPr>
                <w:color w:val="231F20"/>
              </w:rPr>
              <w:t xml:space="preserve"> Te </w:t>
            </w:r>
            <w:proofErr w:type="spellStart"/>
            <w:r w:rsidR="05C5355C" w:rsidRPr="6EBC2213">
              <w:rPr>
                <w:color w:val="231F20"/>
              </w:rPr>
              <w:t>Rangitāke</w:t>
            </w:r>
            <w:proofErr w:type="spellEnd"/>
            <w:r w:rsidR="00543B1E" w:rsidRPr="6EBC2213">
              <w:rPr>
                <w:color w:val="231F20"/>
              </w:rPr>
              <w:t>,</w:t>
            </w:r>
            <w:r w:rsidR="003303D7" w:rsidRPr="6EBC2213">
              <w:rPr>
                <w:color w:val="231F20"/>
              </w:rPr>
              <w:t xml:space="preserve"> and the reasons for going to war</w:t>
            </w:r>
            <w:r w:rsidR="01B66090" w:rsidRPr="6EBC2213">
              <w:rPr>
                <w:color w:val="231F20"/>
              </w:rPr>
              <w:t xml:space="preserve"> In Taranaki</w:t>
            </w:r>
          </w:p>
          <w:p w14:paraId="1DCDC9FA" w14:textId="501ECBE5" w:rsidR="01B66090" w:rsidRDefault="00592214" w:rsidP="6EBC2213">
            <w:pPr>
              <w:pStyle w:val="ListParagraph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>e</w:t>
            </w:r>
            <w:r w:rsidR="01B66090" w:rsidRPr="6EBC2213">
              <w:rPr>
                <w:color w:val="231F20"/>
              </w:rPr>
              <w:t>xamine a range of primary and secondary sources</w:t>
            </w:r>
            <w:r w:rsidR="64AF9AB1" w:rsidRPr="6EBC2213">
              <w:rPr>
                <w:color w:val="231F20"/>
              </w:rPr>
              <w:t xml:space="preserve"> </w:t>
            </w:r>
            <w:r w:rsidR="23DB1AE5" w:rsidRPr="6EBC2213">
              <w:rPr>
                <w:color w:val="231F20"/>
              </w:rPr>
              <w:t xml:space="preserve">to explore the role </w:t>
            </w:r>
            <w:proofErr w:type="gramStart"/>
            <w:r w:rsidR="49EE0ACA" w:rsidRPr="6EBC2213">
              <w:rPr>
                <w:color w:val="231F20"/>
              </w:rPr>
              <w:t>of</w:t>
            </w:r>
            <w:r w:rsidR="3D799455" w:rsidRPr="6EBC2213">
              <w:rPr>
                <w:color w:val="231F20"/>
              </w:rPr>
              <w:t xml:space="preserve"> </w:t>
            </w:r>
            <w:r w:rsidR="35C9969D" w:rsidRPr="6EBC2213">
              <w:rPr>
                <w:color w:val="231F20"/>
              </w:rPr>
              <w:t xml:space="preserve"> </w:t>
            </w:r>
            <w:proofErr w:type="spellStart"/>
            <w:r w:rsidR="35C9969D" w:rsidRPr="6EBC2213">
              <w:rPr>
                <w:color w:val="231F20"/>
              </w:rPr>
              <w:t>Tāwhiao</w:t>
            </w:r>
            <w:proofErr w:type="spellEnd"/>
            <w:proofErr w:type="gramEnd"/>
            <w:r w:rsidR="35C9969D" w:rsidRPr="6EBC2213">
              <w:rPr>
                <w:color w:val="231F20"/>
              </w:rPr>
              <w:t xml:space="preserve"> </w:t>
            </w:r>
            <w:proofErr w:type="spellStart"/>
            <w:r w:rsidR="35C9969D" w:rsidRPr="6EBC2213">
              <w:rPr>
                <w:color w:val="231F20"/>
              </w:rPr>
              <w:t>Tūkāroto</w:t>
            </w:r>
            <w:proofErr w:type="spellEnd"/>
            <w:r w:rsidR="35C9969D" w:rsidRPr="6EBC2213">
              <w:rPr>
                <w:color w:val="231F20"/>
              </w:rPr>
              <w:t xml:space="preserve"> </w:t>
            </w:r>
            <w:proofErr w:type="spellStart"/>
            <w:r w:rsidR="35C9969D" w:rsidRPr="6EBC2213">
              <w:rPr>
                <w:color w:val="231F20"/>
              </w:rPr>
              <w:t>Matutaera</w:t>
            </w:r>
            <w:proofErr w:type="spellEnd"/>
            <w:r w:rsidR="35C9969D" w:rsidRPr="6EBC2213">
              <w:rPr>
                <w:color w:val="231F20"/>
              </w:rPr>
              <w:t xml:space="preserve"> </w:t>
            </w:r>
            <w:proofErr w:type="spellStart"/>
            <w:r w:rsidR="35C9969D" w:rsidRPr="6EBC2213">
              <w:rPr>
                <w:color w:val="231F20"/>
              </w:rPr>
              <w:t>Pōtatau</w:t>
            </w:r>
            <w:proofErr w:type="spellEnd"/>
            <w:r w:rsidR="35C9969D" w:rsidRPr="6EBC2213">
              <w:rPr>
                <w:color w:val="231F20"/>
              </w:rPr>
              <w:t xml:space="preserve"> Te </w:t>
            </w:r>
            <w:proofErr w:type="spellStart"/>
            <w:r w:rsidR="35C9969D" w:rsidRPr="6EBC2213">
              <w:rPr>
                <w:color w:val="231F20"/>
              </w:rPr>
              <w:t>Wherowhero</w:t>
            </w:r>
            <w:proofErr w:type="spellEnd"/>
            <w:r w:rsidR="35C9969D" w:rsidRPr="6EBC2213">
              <w:rPr>
                <w:color w:val="231F20"/>
              </w:rPr>
              <w:t xml:space="preserve"> </w:t>
            </w:r>
            <w:r w:rsidR="25E0F314" w:rsidRPr="6EBC2213">
              <w:rPr>
                <w:color w:val="231F20"/>
              </w:rPr>
              <w:t>and iwi of t</w:t>
            </w:r>
            <w:r w:rsidR="6EDAA439" w:rsidRPr="6EBC2213">
              <w:rPr>
                <w:color w:val="231F20"/>
              </w:rPr>
              <w:t>he</w:t>
            </w:r>
            <w:r w:rsidR="25E0F314" w:rsidRPr="6EBC2213">
              <w:rPr>
                <w:color w:val="231F20"/>
              </w:rPr>
              <w:t xml:space="preserve"> </w:t>
            </w:r>
            <w:proofErr w:type="spellStart"/>
            <w:r w:rsidR="4B62B0BA" w:rsidRPr="6EBC2213">
              <w:rPr>
                <w:color w:val="231F20"/>
              </w:rPr>
              <w:t>Kiingitanga</w:t>
            </w:r>
            <w:proofErr w:type="spellEnd"/>
          </w:p>
          <w:p w14:paraId="2F5EFC02" w14:textId="6282CE6D" w:rsidR="00D64672" w:rsidRPr="00C675AD" w:rsidRDefault="00592214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>
              <w:rPr>
                <w:color w:val="231F20"/>
              </w:rPr>
              <w:t xml:space="preserve">look </w:t>
            </w:r>
            <w:r w:rsidR="00225426" w:rsidRPr="00C675AD">
              <w:rPr>
                <w:color w:val="231F20"/>
              </w:rPr>
              <w:t>at the relationship between the Waikato and Taranaki Wars through</w:t>
            </w:r>
            <w:r w:rsidR="00D64672" w:rsidRPr="00C675AD">
              <w:rPr>
                <w:color w:val="231F20"/>
              </w:rPr>
              <w:t xml:space="preserve"> episodes two and three of the Aotearoa History Roadshow</w:t>
            </w:r>
          </w:p>
          <w:p w14:paraId="1C5C4ED2" w14:textId="462FAE1F" w:rsidR="00543B1E" w:rsidRPr="00C675AD" w:rsidRDefault="00592214" w:rsidP="00592214">
            <w:pPr>
              <w:pStyle w:val="ListParagraph"/>
              <w:widowControl w:val="0"/>
              <w:numPr>
                <w:ilvl w:val="1"/>
                <w:numId w:val="7"/>
              </w:numPr>
              <w:spacing w:before="40" w:after="40" w:line="276" w:lineRule="auto"/>
              <w:rPr>
                <w:color w:val="231F20"/>
              </w:rPr>
            </w:pPr>
            <w:r>
              <w:rPr>
                <w:color w:val="231F20"/>
              </w:rPr>
              <w:t>create</w:t>
            </w:r>
            <w:r w:rsidR="00543B1E" w:rsidRPr="43263E54">
              <w:rPr>
                <w:color w:val="231F20"/>
              </w:rPr>
              <w:t xml:space="preserve"> a table to show contrasting constructions</w:t>
            </w:r>
            <w:r w:rsidR="006939FF">
              <w:rPr>
                <w:color w:val="231F20"/>
              </w:rPr>
              <w:t xml:space="preserve"> and interpretations</w:t>
            </w:r>
            <w:r w:rsidR="00543B1E" w:rsidRPr="43263E54">
              <w:rPr>
                <w:color w:val="231F20"/>
              </w:rPr>
              <w:t xml:space="preserve"> of the Waikato and Taranaki Wars over time</w:t>
            </w:r>
          </w:p>
          <w:p w14:paraId="00000020" w14:textId="60FBFFAD" w:rsidR="008B2E81" w:rsidRPr="00C675AD" w:rsidRDefault="003303D7" w:rsidP="00592214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231F20"/>
              </w:rPr>
            </w:pPr>
            <w:r w:rsidRPr="6EBC2213">
              <w:rPr>
                <w:color w:val="231F20"/>
              </w:rPr>
              <w:t xml:space="preserve">explore the role of </w:t>
            </w:r>
            <w:proofErr w:type="spellStart"/>
            <w:r w:rsidRPr="6EBC2213">
              <w:rPr>
                <w:color w:val="231F20"/>
              </w:rPr>
              <w:t>vā</w:t>
            </w:r>
            <w:proofErr w:type="spellEnd"/>
            <w:r w:rsidRPr="6EBC2213">
              <w:rPr>
                <w:color w:val="231F20"/>
              </w:rPr>
              <w:t xml:space="preserve"> in creating shared historical identities in key groups associated with the Taranaki Wars, Waikato </w:t>
            </w:r>
            <w:r w:rsidR="006939FF" w:rsidRPr="6EBC2213">
              <w:rPr>
                <w:color w:val="231F20"/>
              </w:rPr>
              <w:t>Wars,</w:t>
            </w:r>
            <w:r w:rsidRPr="6EBC2213">
              <w:rPr>
                <w:color w:val="231F20"/>
              </w:rPr>
              <w:t xml:space="preserve"> and the establishment of the </w:t>
            </w:r>
            <w:proofErr w:type="spellStart"/>
            <w:r w:rsidR="4B62B0BA" w:rsidRPr="6EBC2213">
              <w:rPr>
                <w:color w:val="231F20"/>
              </w:rPr>
              <w:t>Kiingitanga</w:t>
            </w:r>
            <w:proofErr w:type="spellEnd"/>
          </w:p>
          <w:p w14:paraId="00000022" w14:textId="7B515905" w:rsidR="008B2E81" w:rsidRPr="00C675AD" w:rsidRDefault="003303D7" w:rsidP="00592214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 w:rsidRPr="46F8E549">
              <w:rPr>
                <w:color w:val="231F20"/>
              </w:rPr>
              <w:t xml:space="preserve"> identify bias, perspective, issues of reliability, gaps in the narrative, </w:t>
            </w:r>
            <w:r w:rsidR="001F3C21">
              <w:rPr>
                <w:color w:val="231F20"/>
              </w:rPr>
              <w:t>and issues</w:t>
            </w:r>
            <w:r w:rsidRPr="46F8E549">
              <w:rPr>
                <w:color w:val="231F20"/>
              </w:rPr>
              <w:t xml:space="preserve"> of publication</w:t>
            </w:r>
            <w:r w:rsidR="001F3C21">
              <w:rPr>
                <w:color w:val="231F20"/>
              </w:rPr>
              <w:t xml:space="preserve"> and audience</w:t>
            </w:r>
            <w:r w:rsidRPr="46F8E549">
              <w:rPr>
                <w:color w:val="231F20"/>
              </w:rPr>
              <w:t xml:space="preserve">. This </w:t>
            </w:r>
            <w:r w:rsidR="001F3C21">
              <w:rPr>
                <w:color w:val="231F20"/>
              </w:rPr>
              <w:t xml:space="preserve">activity </w:t>
            </w:r>
            <w:r w:rsidRPr="46F8E549">
              <w:rPr>
                <w:color w:val="231F20"/>
              </w:rPr>
              <w:t>will develop students’ source interpretation skills</w:t>
            </w:r>
            <w:r w:rsidR="001F3C21">
              <w:rPr>
                <w:color w:val="231F20"/>
              </w:rPr>
              <w:t>.</w:t>
            </w:r>
          </w:p>
          <w:p w14:paraId="00000024" w14:textId="71F69F79" w:rsidR="008B2E81" w:rsidRPr="00C675AD" w:rsidRDefault="003303D7" w:rsidP="00592214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 w:rsidRPr="46F8E549">
              <w:rPr>
                <w:color w:val="231F20"/>
              </w:rPr>
              <w:t xml:space="preserve"> explore how whanaungatanga connects the Waikato and Taranaki wars</w:t>
            </w:r>
          </w:p>
          <w:p w14:paraId="153E3439" w14:textId="1206EBD8" w:rsidR="60629B7C" w:rsidRDefault="00592214" w:rsidP="00592214">
            <w:pPr>
              <w:pStyle w:val="ListParagraph"/>
              <w:numPr>
                <w:ilvl w:val="1"/>
                <w:numId w:val="7"/>
              </w:numPr>
              <w:spacing w:before="40" w:after="120" w:line="276" w:lineRule="auto"/>
              <w:ind w:left="1434" w:hanging="357"/>
              <w:rPr>
                <w:color w:val="231F20"/>
              </w:rPr>
            </w:pPr>
            <w:r>
              <w:rPr>
                <w:color w:val="231F20"/>
              </w:rPr>
              <w:t>create</w:t>
            </w:r>
            <w:r w:rsidR="60629B7C" w:rsidRPr="46F8E549">
              <w:rPr>
                <w:color w:val="231F20"/>
              </w:rPr>
              <w:t xml:space="preserve"> an annotated image timeline of the Taranaki or Waikato War, which identifies its causes, actions, and effects</w:t>
            </w:r>
            <w:r>
              <w:rPr>
                <w:color w:val="231F20"/>
              </w:rPr>
              <w:t>.</w:t>
            </w:r>
          </w:p>
          <w:p w14:paraId="26445147" w14:textId="11DD3923" w:rsidR="79CFE617" w:rsidRDefault="79CFE617" w:rsidP="00592214">
            <w:pPr>
              <w:keepNext/>
              <w:spacing w:before="40" w:after="0" w:line="276" w:lineRule="auto"/>
              <w:rPr>
                <w:b/>
                <w:bCs/>
                <w:color w:val="231F20"/>
              </w:rPr>
            </w:pPr>
            <w:r w:rsidRPr="46F8E549">
              <w:rPr>
                <w:b/>
                <w:bCs/>
                <w:color w:val="231F20"/>
              </w:rPr>
              <w:lastRenderedPageBreak/>
              <w:t>War and R</w:t>
            </w:r>
            <w:r w:rsidR="7E760CB2" w:rsidRPr="46F8E549">
              <w:rPr>
                <w:b/>
                <w:bCs/>
                <w:color w:val="231F20"/>
              </w:rPr>
              <w:t>emembrance</w:t>
            </w:r>
          </w:p>
          <w:p w14:paraId="67BBD348" w14:textId="2BE68025" w:rsidR="43263E54" w:rsidRDefault="61132574" w:rsidP="001F3C21">
            <w:pPr>
              <w:keepNext/>
              <w:spacing w:after="40"/>
              <w:rPr>
                <w:color w:val="231F20"/>
              </w:rPr>
            </w:pPr>
            <w:r w:rsidRPr="46F8E549">
              <w:rPr>
                <w:color w:val="231F20"/>
              </w:rPr>
              <w:t>Students will</w:t>
            </w:r>
          </w:p>
          <w:p w14:paraId="759D1A40" w14:textId="77777777" w:rsidR="00C077BF" w:rsidRDefault="00592214" w:rsidP="00592214">
            <w:pPr>
              <w:pStyle w:val="ListParagraph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592258B0" w:rsidRPr="46F8E549">
              <w:rPr>
                <w:color w:val="231F20"/>
              </w:rPr>
              <w:t xml:space="preserve">xamine </w:t>
            </w:r>
            <w:r w:rsidR="003303D7" w:rsidRPr="46F8E549">
              <w:rPr>
                <w:color w:val="231F20"/>
              </w:rPr>
              <w:t xml:space="preserve">what it means to commemorate and memorialise historical events, </w:t>
            </w:r>
            <w:r w:rsidR="001F3C21" w:rsidRPr="46F8E549">
              <w:rPr>
                <w:color w:val="231F20"/>
              </w:rPr>
              <w:t>places,</w:t>
            </w:r>
            <w:r w:rsidR="003303D7" w:rsidRPr="46F8E549">
              <w:rPr>
                <w:color w:val="231F20"/>
              </w:rPr>
              <w:t xml:space="preserve"> and people. </w:t>
            </w:r>
            <w:r w:rsidR="2396066C" w:rsidRPr="46F8E549">
              <w:rPr>
                <w:color w:val="231F20"/>
              </w:rPr>
              <w:t>T</w:t>
            </w:r>
            <w:r w:rsidR="00C077BF">
              <w:rPr>
                <w:color w:val="231F20"/>
              </w:rPr>
              <w:t>his may be done through</w:t>
            </w:r>
            <w:r w:rsidR="003303D7" w:rsidRPr="46F8E549">
              <w:rPr>
                <w:color w:val="231F20"/>
              </w:rPr>
              <w:t xml:space="preserve"> look</w:t>
            </w:r>
            <w:r w:rsidR="00C077BF">
              <w:rPr>
                <w:color w:val="231F20"/>
              </w:rPr>
              <w:t>ing</w:t>
            </w:r>
            <w:r w:rsidR="003303D7" w:rsidRPr="46F8E549">
              <w:rPr>
                <w:color w:val="231F20"/>
              </w:rPr>
              <w:t xml:space="preserve"> at how the Waikato and Taranaki wars are commemorated in Aotearoa New Zealand society today</w:t>
            </w:r>
          </w:p>
          <w:p w14:paraId="7F36649C" w14:textId="4F0A11F4" w:rsidR="006C39AC" w:rsidRPr="00C675AD" w:rsidRDefault="00C077BF" w:rsidP="00592214">
            <w:pPr>
              <w:pStyle w:val="ListParagraph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 w:rsidRPr="46F8E549">
              <w:rPr>
                <w:color w:val="231F20"/>
              </w:rPr>
              <w:t>begin</w:t>
            </w:r>
            <w:r w:rsidR="003303D7" w:rsidRPr="46F8E549">
              <w:rPr>
                <w:color w:val="231F20"/>
              </w:rPr>
              <w:t xml:space="preserve"> to explore the role of </w:t>
            </w:r>
            <w:proofErr w:type="spellStart"/>
            <w:r w:rsidR="00592214" w:rsidRPr="46F8E549">
              <w:rPr>
                <w:color w:val="231F20"/>
              </w:rPr>
              <w:t>wāhi</w:t>
            </w:r>
            <w:proofErr w:type="spellEnd"/>
            <w:r w:rsidR="003303D7" w:rsidRPr="46F8E549">
              <w:rPr>
                <w:color w:val="231F20"/>
              </w:rPr>
              <w:t xml:space="preserve"> </w:t>
            </w:r>
            <w:proofErr w:type="spellStart"/>
            <w:r w:rsidR="003303D7" w:rsidRPr="46F8E549">
              <w:rPr>
                <w:color w:val="231F20"/>
              </w:rPr>
              <w:t>tapu</w:t>
            </w:r>
            <w:proofErr w:type="spellEnd"/>
            <w:r>
              <w:rPr>
                <w:color w:val="231F20"/>
              </w:rPr>
              <w:t>, which will be taken up again in</w:t>
            </w:r>
            <w:r w:rsidR="003303D7" w:rsidRPr="46F8E549">
              <w:rPr>
                <w:color w:val="231F20"/>
              </w:rPr>
              <w:t xml:space="preserve"> </w:t>
            </w:r>
            <w:proofErr w:type="spellStart"/>
            <w:r w:rsidR="003303D7" w:rsidRPr="46F8E549">
              <w:rPr>
                <w:color w:val="231F20"/>
              </w:rPr>
              <w:t>Parihaka</w:t>
            </w:r>
            <w:proofErr w:type="spellEnd"/>
          </w:p>
          <w:p w14:paraId="07FDACF7" w14:textId="77777777" w:rsidR="00C077BF" w:rsidRDefault="003303D7" w:rsidP="00592214">
            <w:pPr>
              <w:pStyle w:val="ListParagraph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color w:val="231F20"/>
              </w:rPr>
            </w:pPr>
            <w:r w:rsidRPr="46F8E549">
              <w:rPr>
                <w:color w:val="231F20"/>
              </w:rPr>
              <w:t>define and discuss what</w:t>
            </w:r>
            <w:r w:rsidR="00C077BF">
              <w:rPr>
                <w:color w:val="231F20"/>
              </w:rPr>
              <w:t xml:space="preserve"> some</w:t>
            </w:r>
            <w:r w:rsidRPr="46F8E549">
              <w:rPr>
                <w:color w:val="231F20"/>
              </w:rPr>
              <w:t xml:space="preserve"> ethical dimensions</w:t>
            </w:r>
            <w:r w:rsidR="00C077BF">
              <w:rPr>
                <w:color w:val="231F20"/>
              </w:rPr>
              <w:t xml:space="preserve"> of history</w:t>
            </w:r>
            <w:r w:rsidRPr="46F8E549">
              <w:rPr>
                <w:color w:val="231F20"/>
              </w:rPr>
              <w:t xml:space="preserve"> are and how th</w:t>
            </w:r>
            <w:r w:rsidR="00C077BF">
              <w:rPr>
                <w:color w:val="231F20"/>
              </w:rPr>
              <w:t>ese</w:t>
            </w:r>
            <w:r w:rsidRPr="46F8E549">
              <w:rPr>
                <w:color w:val="231F20"/>
              </w:rPr>
              <w:t xml:space="preserve"> can be applied to the study of history</w:t>
            </w:r>
          </w:p>
          <w:p w14:paraId="00000028" w14:textId="037FA5DA" w:rsidR="008B2E81" w:rsidRPr="00C675AD" w:rsidRDefault="003303D7" w:rsidP="00592214">
            <w:pPr>
              <w:pStyle w:val="ListParagraph"/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color w:val="231F20"/>
              </w:rPr>
            </w:pPr>
            <w:r w:rsidRPr="46F8E549">
              <w:rPr>
                <w:color w:val="231F20"/>
              </w:rPr>
              <w:t>explore the historical interpretations of the Waikato and Taranaki wars through the lens of ethical dimensions.</w:t>
            </w:r>
          </w:p>
          <w:p w14:paraId="0000002A" w14:textId="277AB6A9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  <w:color w:val="FF0000"/>
              </w:rPr>
            </w:pPr>
            <w:r w:rsidRPr="00C675AD">
              <w:rPr>
                <w:b/>
                <w:color w:val="FF0000"/>
              </w:rPr>
              <w:t>The learning activities for th</w:t>
            </w:r>
            <w:r w:rsidR="00C37257">
              <w:rPr>
                <w:b/>
                <w:color w:val="FF0000"/>
              </w:rPr>
              <w:t>ese</w:t>
            </w:r>
            <w:r w:rsidRPr="00C675AD">
              <w:rPr>
                <w:b/>
                <w:color w:val="FF0000"/>
              </w:rPr>
              <w:t xml:space="preserve"> topic</w:t>
            </w:r>
            <w:r w:rsidR="00C37257">
              <w:rPr>
                <w:b/>
                <w:color w:val="FF0000"/>
              </w:rPr>
              <w:t>s</w:t>
            </w:r>
            <w:r w:rsidRPr="00C675AD">
              <w:rPr>
                <w:b/>
                <w:color w:val="FF0000"/>
              </w:rPr>
              <w:t xml:space="preserve"> provide opportunities for collecting evidence towards Achievement Standard 1.1 (Internal)</w:t>
            </w:r>
            <w:r w:rsidR="003C7A2F" w:rsidRPr="00C675AD">
              <w:rPr>
                <w:b/>
                <w:color w:val="FF0000"/>
              </w:rPr>
              <w:t>,</w:t>
            </w:r>
            <w:r w:rsidRPr="00C675AD">
              <w:rPr>
                <w:b/>
                <w:color w:val="FF0000"/>
              </w:rPr>
              <w:t xml:space="preserve"> </w:t>
            </w:r>
            <w:r w:rsidRPr="00C675AD">
              <w:rPr>
                <w:b/>
                <w:i/>
                <w:color w:val="FF0000"/>
              </w:rPr>
              <w:t>Engage with primary historical sources in context.</w:t>
            </w:r>
            <w:r w:rsidR="004662C3">
              <w:rPr>
                <w:b/>
                <w:i/>
                <w:color w:val="FF0000"/>
              </w:rPr>
              <w:t xml:space="preserve"> </w:t>
            </w:r>
            <w:r w:rsidRPr="004662C3">
              <w:rPr>
                <w:b/>
                <w:color w:val="FF0000"/>
              </w:rPr>
              <w:t>The study of the concept</w:t>
            </w:r>
            <w:r w:rsidR="003C7A2F" w:rsidRPr="004662C3">
              <w:rPr>
                <w:b/>
                <w:color w:val="FF0000"/>
              </w:rPr>
              <w:t>s</w:t>
            </w:r>
            <w:r w:rsidRPr="004662C3">
              <w:rPr>
                <w:b/>
                <w:color w:val="FF0000"/>
              </w:rPr>
              <w:t xml:space="preserve"> </w:t>
            </w:r>
            <w:r w:rsidRPr="004662C3">
              <w:rPr>
                <w:b/>
                <w:i/>
                <w:color w:val="FF0000"/>
              </w:rPr>
              <w:t xml:space="preserve">whakapapa, whanaungatanga, cause, </w:t>
            </w:r>
            <w:proofErr w:type="spellStart"/>
            <w:r w:rsidRPr="004662C3">
              <w:rPr>
                <w:b/>
                <w:i/>
                <w:color w:val="FF0000"/>
              </w:rPr>
              <w:t>tūrangawaewae</w:t>
            </w:r>
            <w:proofErr w:type="spellEnd"/>
            <w:r w:rsidRPr="004662C3">
              <w:rPr>
                <w:b/>
                <w:i/>
                <w:color w:val="FF0000"/>
              </w:rPr>
              <w:t>, mana</w:t>
            </w:r>
            <w:r w:rsidR="003C7A2F" w:rsidRPr="004662C3">
              <w:rPr>
                <w:b/>
                <w:i/>
                <w:color w:val="FF0000"/>
              </w:rPr>
              <w:t>,</w:t>
            </w:r>
            <w:r w:rsidRPr="004662C3">
              <w:rPr>
                <w:b/>
                <w:i/>
                <w:color w:val="FF0000"/>
              </w:rPr>
              <w:t xml:space="preserve"> and effect</w:t>
            </w:r>
            <w:r w:rsidR="003C7A2F" w:rsidRPr="004662C3">
              <w:rPr>
                <w:b/>
                <w:i/>
                <w:color w:val="FF0000"/>
              </w:rPr>
              <w:t xml:space="preserve">, </w:t>
            </w:r>
            <w:r w:rsidR="003C7A2F" w:rsidRPr="004662C3">
              <w:rPr>
                <w:b/>
                <w:iCs/>
                <w:color w:val="FF0000"/>
              </w:rPr>
              <w:t>along with the s</w:t>
            </w:r>
            <w:r w:rsidRPr="004662C3">
              <w:rPr>
                <w:b/>
                <w:iCs/>
                <w:color w:val="FF0000"/>
              </w:rPr>
              <w:t>urrounding</w:t>
            </w:r>
            <w:r w:rsidRPr="004662C3">
              <w:rPr>
                <w:b/>
                <w:color w:val="FF0000"/>
              </w:rPr>
              <w:t xml:space="preserve"> learning activitie</w:t>
            </w:r>
            <w:r w:rsidR="00C37257">
              <w:rPr>
                <w:b/>
                <w:color w:val="FF0000"/>
              </w:rPr>
              <w:t>s</w:t>
            </w:r>
            <w:r w:rsidR="004662C3">
              <w:rPr>
                <w:b/>
                <w:color w:val="FF0000"/>
              </w:rPr>
              <w:t xml:space="preserve">, may also </w:t>
            </w:r>
            <w:r w:rsidRPr="004662C3">
              <w:rPr>
                <w:b/>
                <w:color w:val="FF0000"/>
              </w:rPr>
              <w:t>help students</w:t>
            </w:r>
            <w:r w:rsidR="006C39AC" w:rsidRPr="004662C3">
              <w:rPr>
                <w:b/>
                <w:color w:val="FF0000"/>
              </w:rPr>
              <w:t xml:space="preserve"> to</w:t>
            </w:r>
            <w:r w:rsidRPr="004662C3">
              <w:rPr>
                <w:b/>
                <w:color w:val="FF0000"/>
              </w:rPr>
              <w:t xml:space="preserve"> prepare for Achievement Standard 1.3 (External)</w:t>
            </w:r>
            <w:r w:rsidR="006C39AC" w:rsidRPr="004662C3">
              <w:rPr>
                <w:b/>
                <w:color w:val="FF0000"/>
              </w:rPr>
              <w:t>,</w:t>
            </w:r>
            <w:r w:rsidRPr="004662C3">
              <w:rPr>
                <w:b/>
                <w:color w:val="FF0000"/>
              </w:rPr>
              <w:t xml:space="preserve"> </w:t>
            </w:r>
            <w:r w:rsidRPr="004662C3">
              <w:rPr>
                <w:b/>
                <w:i/>
                <w:color w:val="FF0000"/>
              </w:rPr>
              <w:t xml:space="preserve">Demonstrate understanding of historical concepts in historical context. </w:t>
            </w:r>
          </w:p>
        </w:tc>
        <w:tc>
          <w:tcPr>
            <w:tcW w:w="1706" w:type="dxa"/>
          </w:tcPr>
          <w:p w14:paraId="0000002B" w14:textId="5A7AE8C0" w:rsidR="008B2E81" w:rsidRDefault="00C3725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lastRenderedPageBreak/>
              <w:t>9</w:t>
            </w:r>
            <w:r w:rsidR="003303D7">
              <w:rPr>
                <w:color w:val="231F20"/>
              </w:rPr>
              <w:t xml:space="preserve"> weeks</w:t>
            </w:r>
          </w:p>
        </w:tc>
      </w:tr>
      <w:tr w:rsidR="001542E2" w14:paraId="5F3046EE" w14:textId="77777777" w:rsidTr="6EBC2213">
        <w:trPr>
          <w:trHeight w:val="1163"/>
        </w:trPr>
        <w:tc>
          <w:tcPr>
            <w:tcW w:w="5097" w:type="dxa"/>
            <w:shd w:val="clear" w:color="auto" w:fill="auto"/>
          </w:tcPr>
          <w:p w14:paraId="0000002C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Engage with a variety of perspectives on a historical event or place.</w:t>
            </w:r>
          </w:p>
          <w:p w14:paraId="0000002D" w14:textId="77777777" w:rsidR="008B2E81" w:rsidRPr="002975A9" w:rsidRDefault="003303D7" w:rsidP="00592214">
            <w:pP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 xml:space="preserve">Explore how places such as </w:t>
            </w:r>
            <w:proofErr w:type="spellStart"/>
            <w:r w:rsidRPr="002975A9">
              <w:rPr>
                <w:i/>
                <w:color w:val="231F20"/>
              </w:rPr>
              <w:t>wāhi</w:t>
            </w:r>
            <w:proofErr w:type="spellEnd"/>
            <w:r w:rsidRPr="002975A9">
              <w:rPr>
                <w:i/>
                <w:color w:val="231F20"/>
              </w:rPr>
              <w:t xml:space="preserve"> </w:t>
            </w:r>
            <w:proofErr w:type="spellStart"/>
            <w:r w:rsidRPr="002975A9">
              <w:rPr>
                <w:i/>
                <w:color w:val="231F20"/>
              </w:rPr>
              <w:t>tapu</w:t>
            </w:r>
            <w:proofErr w:type="spellEnd"/>
            <w:r w:rsidRPr="002975A9">
              <w:rPr>
                <w:i/>
                <w:color w:val="231F20"/>
              </w:rPr>
              <w:t xml:space="preserve"> can be remembered and commemorated differently over time.</w:t>
            </w:r>
          </w:p>
          <w:p w14:paraId="0000002E" w14:textId="4E14415D" w:rsidR="008B2E81" w:rsidRPr="002975A9" w:rsidRDefault="003303D7" w:rsidP="00592214">
            <w:pP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 xml:space="preserve">Explore the role of </w:t>
            </w:r>
            <w:proofErr w:type="spellStart"/>
            <w:r w:rsidRPr="002975A9">
              <w:rPr>
                <w:i/>
                <w:color w:val="231F20"/>
              </w:rPr>
              <w:t>pūrākau</w:t>
            </w:r>
            <w:proofErr w:type="spellEnd"/>
            <w:r w:rsidRPr="002975A9">
              <w:rPr>
                <w:i/>
                <w:color w:val="231F20"/>
              </w:rPr>
              <w:t xml:space="preserve"> and </w:t>
            </w:r>
            <w:proofErr w:type="spellStart"/>
            <w:r w:rsidRPr="002975A9">
              <w:rPr>
                <w:i/>
                <w:color w:val="231F20"/>
              </w:rPr>
              <w:t>pakiwaitara</w:t>
            </w:r>
            <w:proofErr w:type="spellEnd"/>
            <w:r w:rsidRPr="002975A9">
              <w:rPr>
                <w:i/>
                <w:color w:val="231F20"/>
              </w:rPr>
              <w:t xml:space="preserve"> in constructing</w:t>
            </w:r>
            <w:r w:rsidR="004C0C43" w:rsidRPr="002975A9">
              <w:rPr>
                <w:i/>
                <w:color w:val="231F20"/>
              </w:rPr>
              <w:t xml:space="preserve"> and sustaining</w:t>
            </w:r>
            <w:r w:rsidRPr="002975A9">
              <w:rPr>
                <w:i/>
                <w:color w:val="231F20"/>
              </w:rPr>
              <w:t xml:space="preserve"> histories.</w:t>
            </w:r>
          </w:p>
          <w:p w14:paraId="0000002F" w14:textId="77777777" w:rsidR="008B2E81" w:rsidRPr="002975A9" w:rsidRDefault="003303D7" w:rsidP="00592214">
            <w:pP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Explore the ways that power has been exercised in the past, including the diverse experiences and effects of power.</w:t>
            </w:r>
          </w:p>
          <w:p w14:paraId="00000032" w14:textId="145D7686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 xml:space="preserve">Explore how whakapapa, whanaungatanga, and </w:t>
            </w:r>
            <w:proofErr w:type="spellStart"/>
            <w:r w:rsidRPr="002975A9">
              <w:rPr>
                <w:i/>
                <w:color w:val="231F20"/>
              </w:rPr>
              <w:t>tūrangawaewae</w:t>
            </w:r>
            <w:proofErr w:type="spellEnd"/>
            <w:r w:rsidRPr="002975A9">
              <w:rPr>
                <w:i/>
                <w:color w:val="231F20"/>
              </w:rPr>
              <w:t xml:space="preserve"> have shaped the past.</w:t>
            </w:r>
          </w:p>
        </w:tc>
        <w:tc>
          <w:tcPr>
            <w:tcW w:w="15880" w:type="dxa"/>
            <w:shd w:val="clear" w:color="auto" w:fill="auto"/>
          </w:tcPr>
          <w:p w14:paraId="283C7A47" w14:textId="77777777" w:rsidR="00C675AD" w:rsidRDefault="003303D7" w:rsidP="00592214">
            <w:pPr>
              <w:pStyle w:val="Heading2"/>
              <w:spacing w:after="40"/>
              <w:rPr>
                <w:color w:val="231F20"/>
                <w:sz w:val="22"/>
                <w:szCs w:val="22"/>
              </w:rPr>
            </w:pPr>
            <w:r>
              <w:t xml:space="preserve">Invasion of </w:t>
            </w:r>
            <w:proofErr w:type="spellStart"/>
            <w:r>
              <w:t>Parihaka</w:t>
            </w:r>
            <w:proofErr w:type="spellEnd"/>
          </w:p>
          <w:p w14:paraId="789CDD1E" w14:textId="5AB14A29" w:rsidR="4C4662D7" w:rsidRDefault="4C4662D7" w:rsidP="00C37257">
            <w:pPr>
              <w:spacing w:before="40" w:after="0" w:line="276" w:lineRule="auto"/>
              <w:rPr>
                <w:b/>
                <w:bCs/>
                <w:color w:val="231F20"/>
              </w:rPr>
            </w:pPr>
            <w:r w:rsidRPr="2B5EFC0E">
              <w:rPr>
                <w:b/>
                <w:bCs/>
                <w:color w:val="231F20"/>
              </w:rPr>
              <w:t>Background</w:t>
            </w:r>
            <w:r w:rsidR="00C37257">
              <w:rPr>
                <w:b/>
                <w:bCs/>
                <w:color w:val="231F20"/>
              </w:rPr>
              <w:t xml:space="preserve"> - </w:t>
            </w:r>
            <w:r w:rsidRPr="2B5EFC0E">
              <w:rPr>
                <w:b/>
                <w:bCs/>
                <w:color w:val="231F20"/>
              </w:rPr>
              <w:t>Establishing the historical context</w:t>
            </w:r>
          </w:p>
          <w:p w14:paraId="36925CDA" w14:textId="454E8D69" w:rsidR="00463BB8" w:rsidRDefault="004936B7" w:rsidP="00C37257">
            <w:pPr>
              <w:pStyle w:val="Heading2"/>
              <w:spacing w:before="0" w:after="4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Students will</w:t>
            </w:r>
            <w:r w:rsidR="00463BB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:</w:t>
            </w:r>
          </w:p>
          <w:p w14:paraId="14B978ED" w14:textId="250357C5" w:rsidR="004936B7" w:rsidRDefault="004936B7" w:rsidP="00592214">
            <w:pPr>
              <w:pStyle w:val="Heading2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watch the music video </w:t>
            </w:r>
            <w:r w:rsidR="003303D7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“</w:t>
            </w:r>
            <w:proofErr w:type="spellStart"/>
            <w:r w:rsidR="003303D7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Parihaka</w:t>
            </w:r>
            <w:proofErr w:type="spellEnd"/>
            <w:r w:rsidR="003303D7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” by </w:t>
            </w:r>
            <w:r w:rsidR="369512D9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Tim </w:t>
            </w:r>
            <w:r w:rsidR="003303D7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Finn and the Herbs.</w:t>
            </w:r>
            <w:r w:rsidR="00C675AD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 </w:t>
            </w:r>
            <w:r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They can then d</w:t>
            </w:r>
            <w:r w:rsidR="00C675AD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i</w:t>
            </w:r>
            <w:r w:rsidR="003303D7"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scuss the use of the song as a historical source</w:t>
            </w:r>
            <w:r w:rsidRPr="4879BA8E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 and think</w:t>
            </w:r>
            <w:r w:rsidR="003303D7"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about the</w:t>
            </w:r>
            <w:r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song’s</w:t>
            </w:r>
            <w:r w:rsidR="003303D7"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lyrics, the video</w:t>
            </w:r>
            <w:r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3303D7"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and the </w:t>
            </w:r>
            <w:r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time in which it was written</w:t>
            </w:r>
            <w:r w:rsidR="003303D7" w:rsidRPr="4879BA8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. </w:t>
            </w:r>
          </w:p>
          <w:p w14:paraId="5D5CEDA4" w14:textId="1B189FB9" w:rsidR="00463BB8" w:rsidRDefault="00463BB8" w:rsidP="00592214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>
              <w:t>use</w:t>
            </w:r>
            <w:r w:rsidR="000C3B5F">
              <w:t xml:space="preserve"> </w:t>
            </w:r>
            <w:r w:rsidR="000C3B5F" w:rsidRPr="000C3B5F">
              <w:t>Vincent O’Malley’s article “A dark tale about dispossession and greed”</w:t>
            </w:r>
            <w:r w:rsidR="000C3B5F">
              <w:t xml:space="preserve"> as a starting point</w:t>
            </w:r>
            <w:r>
              <w:t xml:space="preserve"> to grow </w:t>
            </w:r>
            <w:r w:rsidR="00134A5B">
              <w:t>their</w:t>
            </w:r>
            <w:r w:rsidR="00134A5B" w:rsidRPr="00134A5B">
              <w:t xml:space="preserve"> understanding of</w:t>
            </w:r>
            <w:r w:rsidR="00134A5B">
              <w:t xml:space="preserve"> the</w:t>
            </w:r>
            <w:r w:rsidR="00134A5B" w:rsidRPr="00134A5B">
              <w:t xml:space="preserve"> land confiscation policies </w:t>
            </w:r>
            <w:r w:rsidR="00134A5B">
              <w:t>enacted by</w:t>
            </w:r>
            <w:r w:rsidR="00134A5B" w:rsidRPr="00134A5B">
              <w:t xml:space="preserve"> </w:t>
            </w:r>
            <w:r w:rsidR="00134A5B">
              <w:t>government of the day. They can consult one of</w:t>
            </w:r>
            <w:r w:rsidR="00F36F01">
              <w:t xml:space="preserve"> the</w:t>
            </w:r>
            <w:r w:rsidR="00134A5B">
              <w:t xml:space="preserve"> primary sources O’Malley refers to, the</w:t>
            </w:r>
            <w:r w:rsidR="00134A5B" w:rsidRPr="00134A5B">
              <w:t xml:space="preserve"> New Zealand Settlements Act 1863.</w:t>
            </w:r>
          </w:p>
          <w:p w14:paraId="5BE89AB5" w14:textId="77777777" w:rsidR="00463BB8" w:rsidRPr="00463BB8" w:rsidRDefault="00463BB8" w:rsidP="00C37257">
            <w:pPr>
              <w:pStyle w:val="ListParagraph"/>
              <w:numPr>
                <w:ilvl w:val="0"/>
                <w:numId w:val="9"/>
              </w:numPr>
              <w:spacing w:before="40" w:after="120"/>
            </w:pPr>
            <w:r w:rsidRPr="2B5EFC0E">
              <w:rPr>
                <w:rFonts w:asciiTheme="minorHAnsi" w:hAnsiTheme="minorHAnsi" w:cstheme="minorBidi"/>
              </w:rPr>
              <w:t>learn about the</w:t>
            </w:r>
            <w:r w:rsidR="003303D7" w:rsidRPr="2B5EFC0E">
              <w:rPr>
                <w:rFonts w:asciiTheme="minorHAnsi" w:hAnsiTheme="minorHAnsi" w:cstheme="minorBidi"/>
              </w:rPr>
              <w:t xml:space="preserve"> ‘Pacifist Settlement’</w:t>
            </w:r>
            <w:r w:rsidRPr="2B5EFC0E">
              <w:rPr>
                <w:rFonts w:asciiTheme="minorHAnsi" w:hAnsiTheme="minorHAnsi" w:cstheme="minorBidi"/>
              </w:rPr>
              <w:t xml:space="preserve"> and then conduct </w:t>
            </w:r>
            <w:r w:rsidR="003303D7" w:rsidRPr="2B5EFC0E">
              <w:rPr>
                <w:rFonts w:asciiTheme="minorHAnsi" w:hAnsiTheme="minorHAnsi" w:cstheme="minorBidi"/>
              </w:rPr>
              <w:t xml:space="preserve">their own research to find other examples of Pacifist Settlements in history. </w:t>
            </w:r>
          </w:p>
          <w:p w14:paraId="75EF085C" w14:textId="1643FD66" w:rsidR="17434F99" w:rsidRDefault="17434F99" w:rsidP="00C37257">
            <w:pPr>
              <w:spacing w:before="40" w:after="0"/>
              <w:rPr>
                <w:rFonts w:asciiTheme="minorHAnsi" w:hAnsiTheme="minorHAnsi" w:cstheme="minorBidi"/>
                <w:b/>
                <w:bCs/>
              </w:rPr>
            </w:pPr>
            <w:r w:rsidRPr="2B5EFC0E">
              <w:rPr>
                <w:rFonts w:asciiTheme="minorHAnsi" w:hAnsiTheme="minorHAnsi" w:cstheme="minorBidi"/>
                <w:b/>
                <w:bCs/>
              </w:rPr>
              <w:t>Historical Biographies</w:t>
            </w:r>
          </w:p>
          <w:p w14:paraId="15A8FCF9" w14:textId="3A5DB517" w:rsidR="413CA5AA" w:rsidRDefault="413CA5AA" w:rsidP="00C37257">
            <w:pPr>
              <w:spacing w:after="40"/>
              <w:rPr>
                <w:rFonts w:asciiTheme="minorHAnsi" w:hAnsiTheme="minorHAnsi" w:cstheme="minorBidi"/>
              </w:rPr>
            </w:pPr>
            <w:r w:rsidRPr="2B5EFC0E">
              <w:rPr>
                <w:rFonts w:asciiTheme="minorHAnsi" w:hAnsiTheme="minorHAnsi" w:cstheme="minorBidi"/>
              </w:rPr>
              <w:t>Students will:</w:t>
            </w:r>
          </w:p>
          <w:p w14:paraId="56AC922B" w14:textId="70AFAF9A" w:rsidR="17434F99" w:rsidRDefault="17434F99" w:rsidP="6EBC2213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color w:val="000000" w:themeColor="text1"/>
              </w:rPr>
            </w:pPr>
            <w:r w:rsidRPr="6EBC2213">
              <w:rPr>
                <w:color w:val="000000" w:themeColor="text1"/>
              </w:rPr>
              <w:t>view</w:t>
            </w:r>
            <w:r>
              <w:t xml:space="preserve"> </w:t>
            </w:r>
            <w:r w:rsidR="227C1399">
              <w:t xml:space="preserve">a documentary </w:t>
            </w:r>
            <w:proofErr w:type="gramStart"/>
            <w:r w:rsidR="227C1399">
              <w:t>e.g.</w:t>
            </w:r>
            <w:proofErr w:type="gramEnd"/>
            <w:r w:rsidR="227C1399">
              <w:t xml:space="preserve"> </w:t>
            </w:r>
            <w:proofErr w:type="spellStart"/>
            <w:r w:rsidR="7B992FC3" w:rsidRPr="6EBC2213">
              <w:rPr>
                <w:i/>
                <w:iCs/>
              </w:rPr>
              <w:t>Tātarakihi</w:t>
            </w:r>
            <w:proofErr w:type="spellEnd"/>
            <w:r w:rsidR="12AA06BE" w:rsidRPr="6EBC2213">
              <w:rPr>
                <w:i/>
                <w:iCs/>
              </w:rPr>
              <w:t xml:space="preserve"> – </w:t>
            </w:r>
            <w:r w:rsidR="44FB3C8D" w:rsidRPr="6EBC2213">
              <w:rPr>
                <w:i/>
                <w:iCs/>
              </w:rPr>
              <w:t xml:space="preserve">The </w:t>
            </w:r>
            <w:r w:rsidR="12AA06BE" w:rsidRPr="6EBC2213">
              <w:rPr>
                <w:i/>
                <w:iCs/>
              </w:rPr>
              <w:t xml:space="preserve">Children of </w:t>
            </w:r>
            <w:proofErr w:type="spellStart"/>
            <w:r w:rsidR="12AA06BE" w:rsidRPr="6EBC2213">
              <w:rPr>
                <w:i/>
                <w:iCs/>
              </w:rPr>
              <w:t>Parihaka</w:t>
            </w:r>
            <w:proofErr w:type="spellEnd"/>
            <w:r w:rsidR="2D2F35C9">
              <w:t xml:space="preserve">. </w:t>
            </w:r>
            <w:r w:rsidR="75D30C1A">
              <w:t>Students</w:t>
            </w:r>
            <w:r>
              <w:t xml:space="preserve"> will use the documentary to create a visual biography of Te Whiti and </w:t>
            </w:r>
            <w:proofErr w:type="spellStart"/>
            <w:r>
              <w:t>Tohu</w:t>
            </w:r>
            <w:proofErr w:type="spellEnd"/>
            <w:r>
              <w:t xml:space="preserve">. They may choose to look at how </w:t>
            </w:r>
            <w:proofErr w:type="spellStart"/>
            <w:r>
              <w:t>tūrangawaewae</w:t>
            </w:r>
            <w:proofErr w:type="spellEnd"/>
            <w:r>
              <w:t xml:space="preserve"> and whakapapa influenced Te Whiti and </w:t>
            </w:r>
            <w:proofErr w:type="spellStart"/>
            <w:r>
              <w:t>Tohu</w:t>
            </w:r>
            <w:proofErr w:type="spellEnd"/>
            <w:r>
              <w:t>.</w:t>
            </w:r>
          </w:p>
          <w:p w14:paraId="4479BB5C" w14:textId="4F5625BA" w:rsidR="17434F99" w:rsidRDefault="17434F99" w:rsidP="0059221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color w:val="000000" w:themeColor="text1"/>
              </w:rPr>
            </w:pPr>
            <w:r w:rsidRPr="2B5EFC0E">
              <w:rPr>
                <w:rFonts w:asciiTheme="minorHAnsi" w:hAnsiTheme="minorHAnsi" w:cstheme="minorBidi"/>
              </w:rPr>
              <w:t xml:space="preserve">listen to the Radio New Zealand podcast </w:t>
            </w:r>
            <w:r w:rsidR="0011624C">
              <w:rPr>
                <w:rFonts w:asciiTheme="minorHAnsi" w:hAnsiTheme="minorHAnsi" w:cstheme="minorBidi"/>
              </w:rPr>
              <w:t>about</w:t>
            </w:r>
            <w:r w:rsidRPr="2B5EFC0E">
              <w:rPr>
                <w:rFonts w:asciiTheme="minorHAnsi" w:hAnsiTheme="minorHAnsi" w:cstheme="minorBidi"/>
              </w:rPr>
              <w:t xml:space="preserve"> John </w:t>
            </w:r>
            <w:r w:rsidR="0011624C">
              <w:rPr>
                <w:rFonts w:asciiTheme="minorHAnsi" w:hAnsiTheme="minorHAnsi" w:cstheme="minorBidi"/>
              </w:rPr>
              <w:t xml:space="preserve">Bryce, </w:t>
            </w:r>
            <w:r w:rsidR="00652DA6">
              <w:rPr>
                <w:rFonts w:asciiTheme="minorHAnsi" w:hAnsiTheme="minorHAnsi" w:cstheme="minorBidi"/>
              </w:rPr>
              <w:t>‘</w:t>
            </w:r>
            <w:r w:rsidRPr="2B5EFC0E">
              <w:rPr>
                <w:rFonts w:asciiTheme="minorHAnsi" w:hAnsiTheme="minorHAnsi" w:cstheme="minorBidi"/>
              </w:rPr>
              <w:t>Honest murderer: the story of John Bryce</w:t>
            </w:r>
            <w:r w:rsidR="00652DA6">
              <w:rPr>
                <w:rFonts w:asciiTheme="minorHAnsi" w:hAnsiTheme="minorHAnsi" w:cstheme="minorBidi"/>
              </w:rPr>
              <w:t>’,</w:t>
            </w:r>
            <w:r w:rsidRPr="2B5EFC0E">
              <w:rPr>
                <w:rFonts w:asciiTheme="minorHAnsi" w:hAnsiTheme="minorHAnsi" w:cstheme="minorBidi"/>
              </w:rPr>
              <w:t xml:space="preserve"> to understand the role he played before, during</w:t>
            </w:r>
            <w:r w:rsidR="00652DA6">
              <w:rPr>
                <w:rFonts w:asciiTheme="minorHAnsi" w:hAnsiTheme="minorHAnsi" w:cstheme="minorBidi"/>
              </w:rPr>
              <w:t>,</w:t>
            </w:r>
            <w:r w:rsidRPr="2B5EFC0E">
              <w:rPr>
                <w:rFonts w:asciiTheme="minorHAnsi" w:hAnsiTheme="minorHAnsi" w:cstheme="minorBidi"/>
              </w:rPr>
              <w:t xml:space="preserve"> and after the invasion of </w:t>
            </w:r>
            <w:proofErr w:type="spellStart"/>
            <w:r w:rsidRPr="2B5EFC0E">
              <w:rPr>
                <w:rFonts w:asciiTheme="minorHAnsi" w:hAnsiTheme="minorHAnsi" w:cstheme="minorBidi"/>
              </w:rPr>
              <w:t>Parihaka</w:t>
            </w:r>
            <w:proofErr w:type="spellEnd"/>
            <w:r w:rsidRPr="2B5EFC0E">
              <w:rPr>
                <w:rFonts w:asciiTheme="minorHAnsi" w:hAnsiTheme="minorHAnsi" w:cstheme="minorBidi"/>
              </w:rPr>
              <w:t xml:space="preserve"> and explore how he is remembered in history today.</w:t>
            </w:r>
            <w:r w:rsidR="00652DA6">
              <w:rPr>
                <w:rFonts w:asciiTheme="minorHAnsi" w:hAnsiTheme="minorHAnsi" w:cstheme="minorBidi"/>
              </w:rPr>
              <w:t xml:space="preserve"> E</w:t>
            </w:r>
            <w:r w:rsidRPr="2B5EFC0E">
              <w:rPr>
                <w:rFonts w:asciiTheme="minorHAnsi" w:hAnsiTheme="minorHAnsi" w:cstheme="minorBidi"/>
              </w:rPr>
              <w:t xml:space="preserve">ngage with primary and secondary sources in relation to his involvement at </w:t>
            </w:r>
            <w:proofErr w:type="spellStart"/>
            <w:r w:rsidRPr="2B5EFC0E">
              <w:rPr>
                <w:rFonts w:asciiTheme="minorHAnsi" w:hAnsiTheme="minorHAnsi" w:cstheme="minorBidi"/>
              </w:rPr>
              <w:t>Parihaka</w:t>
            </w:r>
            <w:proofErr w:type="spellEnd"/>
            <w:r w:rsidR="00652DA6">
              <w:rPr>
                <w:rFonts w:asciiTheme="minorHAnsi" w:hAnsiTheme="minorHAnsi" w:cstheme="minorBidi"/>
              </w:rPr>
              <w:t xml:space="preserve"> to e</w:t>
            </w:r>
            <w:r w:rsidR="00652DA6" w:rsidRPr="00652DA6">
              <w:rPr>
                <w:rFonts w:asciiTheme="minorHAnsi" w:hAnsiTheme="minorHAnsi" w:cstheme="minorBidi"/>
              </w:rPr>
              <w:t xml:space="preserve">xplore different perspectives </w:t>
            </w:r>
            <w:r w:rsidR="00652DA6">
              <w:rPr>
                <w:rFonts w:asciiTheme="minorHAnsi" w:hAnsiTheme="minorHAnsi" w:cstheme="minorBidi"/>
              </w:rPr>
              <w:t>on this.</w:t>
            </w:r>
          </w:p>
          <w:p w14:paraId="01AE28E0" w14:textId="58DD0B15" w:rsidR="2188B88C" w:rsidRDefault="2188B88C" w:rsidP="00C37257">
            <w:pPr>
              <w:pStyle w:val="ListParagraph"/>
              <w:numPr>
                <w:ilvl w:val="0"/>
                <w:numId w:val="10"/>
              </w:numPr>
              <w:spacing w:before="40" w:after="1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B5EFC0E">
              <w:rPr>
                <w:rFonts w:asciiTheme="minorHAnsi" w:hAnsiTheme="minorHAnsi" w:cstheme="minorBidi"/>
                <w:color w:val="000000" w:themeColor="text1"/>
              </w:rPr>
              <w:t xml:space="preserve">engage with both primary and secondary sources to identify key individuals and groups involved in the establishment and invasion of </w:t>
            </w:r>
            <w:proofErr w:type="spellStart"/>
            <w:r w:rsidRPr="2B5EFC0E">
              <w:rPr>
                <w:rFonts w:asciiTheme="minorHAnsi" w:hAnsiTheme="minorHAnsi" w:cstheme="minorBidi"/>
                <w:color w:val="000000" w:themeColor="text1"/>
              </w:rPr>
              <w:t>Parihaka</w:t>
            </w:r>
            <w:proofErr w:type="spellEnd"/>
            <w:r w:rsidRPr="2B5EFC0E">
              <w:rPr>
                <w:rFonts w:asciiTheme="minorHAnsi" w:hAnsiTheme="minorHAnsi" w:cstheme="minorBidi"/>
                <w:color w:val="000000" w:themeColor="text1"/>
              </w:rPr>
              <w:t>.</w:t>
            </w:r>
          </w:p>
          <w:p w14:paraId="7DC21461" w14:textId="280287C0" w:rsidR="134ABB64" w:rsidRDefault="134ABB64" w:rsidP="00C37257">
            <w:pPr>
              <w:spacing w:before="40" w:after="0"/>
              <w:rPr>
                <w:rFonts w:asciiTheme="minorHAnsi" w:hAnsiTheme="minorHAnsi" w:cstheme="minorBidi"/>
                <w:b/>
                <w:bCs/>
              </w:rPr>
            </w:pPr>
            <w:r w:rsidRPr="2B5EFC0E">
              <w:rPr>
                <w:rFonts w:asciiTheme="minorHAnsi" w:hAnsiTheme="minorHAnsi" w:cstheme="minorBidi"/>
                <w:b/>
                <w:bCs/>
              </w:rPr>
              <w:t>Significance</w:t>
            </w:r>
          </w:p>
          <w:p w14:paraId="0D232179" w14:textId="02008DAB" w:rsidR="2F653E59" w:rsidRDefault="2F653E59" w:rsidP="00C37257">
            <w:pPr>
              <w:spacing w:after="40"/>
              <w:rPr>
                <w:rFonts w:asciiTheme="minorHAnsi" w:hAnsiTheme="minorHAnsi" w:cstheme="minorBidi"/>
              </w:rPr>
            </w:pPr>
            <w:r w:rsidRPr="2B5EFC0E">
              <w:rPr>
                <w:rFonts w:asciiTheme="minorHAnsi" w:hAnsiTheme="minorHAnsi" w:cstheme="minorBidi"/>
              </w:rPr>
              <w:t>Students will:</w:t>
            </w:r>
          </w:p>
          <w:p w14:paraId="56CA2EEA" w14:textId="51620BB0" w:rsidR="00463BB8" w:rsidRPr="00463BB8" w:rsidRDefault="003303D7" w:rsidP="6EBC2213">
            <w:pPr>
              <w:pStyle w:val="ListParagraph"/>
              <w:numPr>
                <w:ilvl w:val="0"/>
                <w:numId w:val="9"/>
              </w:numPr>
              <w:spacing w:before="40" w:after="40"/>
            </w:pPr>
            <w:r w:rsidRPr="6EBC2213">
              <w:rPr>
                <w:rFonts w:asciiTheme="minorHAnsi" w:hAnsiTheme="minorHAnsi" w:cstheme="minorBidi"/>
              </w:rPr>
              <w:t xml:space="preserve">engage with sources from Taranaki iwi to build an understanding of the significance of </w:t>
            </w:r>
            <w:proofErr w:type="spellStart"/>
            <w:r w:rsidRPr="6EBC2213">
              <w:rPr>
                <w:rFonts w:asciiTheme="minorHAnsi" w:hAnsiTheme="minorHAnsi" w:cstheme="minorBidi"/>
              </w:rPr>
              <w:t>Parihaka</w:t>
            </w:r>
            <w:proofErr w:type="spellEnd"/>
            <w:r w:rsidRPr="6EBC2213">
              <w:rPr>
                <w:rFonts w:asciiTheme="minorHAnsi" w:hAnsiTheme="minorHAnsi" w:cstheme="minorBidi"/>
              </w:rPr>
              <w:t xml:space="preserve"> to the iwi at the time, over time</w:t>
            </w:r>
            <w:r w:rsidR="00652DA6" w:rsidRPr="6EBC2213">
              <w:rPr>
                <w:rFonts w:asciiTheme="minorHAnsi" w:hAnsiTheme="minorHAnsi" w:cstheme="minorBidi"/>
              </w:rPr>
              <w:t>,</w:t>
            </w:r>
            <w:r w:rsidRPr="6EBC2213">
              <w:rPr>
                <w:rFonts w:asciiTheme="minorHAnsi" w:hAnsiTheme="minorHAnsi" w:cstheme="minorBidi"/>
              </w:rPr>
              <w:t xml:space="preserve"> and </w:t>
            </w:r>
            <w:r w:rsidR="3E26BB48" w:rsidRPr="6EBC2213">
              <w:rPr>
                <w:rFonts w:asciiTheme="minorHAnsi" w:hAnsiTheme="minorHAnsi" w:cstheme="minorBidi"/>
              </w:rPr>
              <w:t>today</w:t>
            </w:r>
          </w:p>
          <w:p w14:paraId="779456E8" w14:textId="08B6B488" w:rsidR="00134A5B" w:rsidRDefault="00463BB8" w:rsidP="00592214">
            <w:pPr>
              <w:pStyle w:val="Heading2"/>
              <w:numPr>
                <w:ilvl w:val="0"/>
                <w:numId w:val="10"/>
              </w:numPr>
              <w:tabs>
                <w:tab w:val="left" w:pos="3700"/>
              </w:tabs>
              <w:spacing w:after="40" w:line="276" w:lineRule="auto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work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groups</w:t>
            </w:r>
            <w:r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to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create an annotated timeline from the creation of </w:t>
            </w:r>
            <w:proofErr w:type="spellStart"/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Parihaka</w:t>
            </w:r>
            <w:proofErr w:type="spellEnd"/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to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present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.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 doing so, s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tudents may wish to use photographs, newspaper articles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and other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primary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sources to </w:t>
            </w:r>
            <w:r w:rsidR="002B447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demonstrate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their understanding.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They could also 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present their findings back to the class.</w:t>
            </w:r>
          </w:p>
          <w:p w14:paraId="0000003C" w14:textId="4A613E10" w:rsidR="008B2E81" w:rsidRPr="00956320" w:rsidRDefault="00463BB8" w:rsidP="0059221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partake in a class discussion about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wāhi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tapu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. Then, </w:t>
            </w:r>
            <w:r w:rsidR="00F17AB3">
              <w:rPr>
                <w:rFonts w:asciiTheme="minorHAnsi" w:hAnsiTheme="minorHAnsi" w:cstheme="minorHAnsi"/>
                <w:color w:val="000000"/>
              </w:rPr>
              <w:t xml:space="preserve">working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in groups, </w:t>
            </w:r>
            <w:r w:rsidR="00F17AB3">
              <w:rPr>
                <w:rFonts w:asciiTheme="minorHAnsi" w:hAnsiTheme="minorHAnsi" w:cstheme="minorHAnsi"/>
                <w:color w:val="000000"/>
              </w:rPr>
              <w:t xml:space="preserve">students will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start to build their understanding of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wāhi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tapu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with regards to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Parihaka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>.</w:t>
            </w:r>
            <w:r w:rsidR="00F17AB3">
              <w:rPr>
                <w:rFonts w:asciiTheme="minorHAnsi" w:hAnsiTheme="minorHAnsi" w:cstheme="minorHAnsi"/>
                <w:color w:val="000000"/>
              </w:rPr>
              <w:t xml:space="preserve"> They may choose to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analyse the memorial for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Tohu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and Te Whiti in </w:t>
            </w:r>
            <w:proofErr w:type="spellStart"/>
            <w:r w:rsidR="00EA1C51">
              <w:rPr>
                <w:rFonts w:asciiTheme="minorHAnsi" w:hAnsiTheme="minorHAnsi" w:cstheme="minorHAnsi"/>
                <w:color w:val="000000"/>
              </w:rPr>
              <w:t>Ōtepoti</w:t>
            </w:r>
            <w:proofErr w:type="spellEnd"/>
            <w:r w:rsidR="00EA1C51">
              <w:rPr>
                <w:rFonts w:asciiTheme="minorHAnsi" w:hAnsiTheme="minorHAnsi" w:cstheme="minorHAnsi"/>
                <w:color w:val="000000"/>
              </w:rPr>
              <w:t xml:space="preserve"> (Dunedin)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659E">
              <w:rPr>
                <w:rFonts w:asciiTheme="minorHAnsi" w:hAnsiTheme="minorHAnsi" w:cstheme="minorHAnsi"/>
                <w:color w:val="000000"/>
              </w:rPr>
              <w:t>including whether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this site </w:t>
            </w:r>
            <w:r w:rsidR="00EA1C51">
              <w:rPr>
                <w:rFonts w:asciiTheme="minorHAnsi" w:hAnsiTheme="minorHAnsi" w:cstheme="minorHAnsi"/>
                <w:color w:val="000000"/>
              </w:rPr>
              <w:t>should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be considered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wāhi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3303D7" w:rsidRPr="00F17AB3">
              <w:rPr>
                <w:rFonts w:asciiTheme="minorHAnsi" w:hAnsiTheme="minorHAnsi" w:cstheme="minorHAnsi"/>
                <w:color w:val="000000"/>
              </w:rPr>
              <w:t>tapu</w:t>
            </w:r>
            <w:proofErr w:type="spellEnd"/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. Students </w:t>
            </w:r>
            <w:r w:rsidR="00EA1C51">
              <w:rPr>
                <w:rFonts w:asciiTheme="minorHAnsi" w:hAnsiTheme="minorHAnsi" w:cstheme="minorHAnsi"/>
                <w:color w:val="000000"/>
              </w:rPr>
              <w:t xml:space="preserve">might also </w:t>
            </w:r>
            <w:r w:rsidR="00B1659E">
              <w:rPr>
                <w:rFonts w:asciiTheme="minorHAnsi" w:hAnsiTheme="minorHAnsi" w:cstheme="minorHAnsi"/>
                <w:color w:val="000000"/>
              </w:rPr>
              <w:t>explore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the different perspectives on this memorial and</w:t>
            </w:r>
            <w:r w:rsidR="00EA1C51">
              <w:rPr>
                <w:rFonts w:asciiTheme="minorHAnsi" w:hAnsiTheme="minorHAnsi" w:cstheme="minorHAnsi"/>
                <w:color w:val="000000"/>
              </w:rPr>
              <w:t xml:space="preserve"> i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>ts location.</w:t>
            </w:r>
          </w:p>
          <w:p w14:paraId="10A9583D" w14:textId="0E071967" w:rsidR="00463BB8" w:rsidRPr="00463BB8" w:rsidRDefault="00463BB8" w:rsidP="0059221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construct an event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analysis table </w:t>
            </w:r>
            <w:r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>debate the actions of</w:t>
            </w:r>
            <w:r w:rsidR="002B4474">
              <w:rPr>
                <w:rFonts w:asciiTheme="minorHAnsi" w:hAnsiTheme="minorHAnsi" w:cstheme="minorHAnsi"/>
                <w:color w:val="000000"/>
              </w:rPr>
              <w:t xml:space="preserve"> authorities and their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response to </w:t>
            </w:r>
            <w:proofErr w:type="spellStart"/>
            <w:r w:rsidR="003303D7" w:rsidRPr="00463BB8">
              <w:rPr>
                <w:rFonts w:asciiTheme="minorHAnsi" w:hAnsiTheme="minorHAnsi" w:cstheme="minorHAnsi"/>
                <w:color w:val="000000"/>
              </w:rPr>
              <w:t>Parihaka</w:t>
            </w:r>
            <w:proofErr w:type="spellEnd"/>
          </w:p>
          <w:p w14:paraId="036CD913" w14:textId="696F134D" w:rsidR="00463BB8" w:rsidRPr="00463BB8" w:rsidRDefault="00463BB8" w:rsidP="00592214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escribe the legacy of </w:t>
            </w:r>
            <w:proofErr w:type="spellStart"/>
            <w:r w:rsidR="003303D7" w:rsidRPr="00463BB8">
              <w:rPr>
                <w:rFonts w:asciiTheme="minorHAnsi" w:hAnsiTheme="minorHAnsi" w:cstheme="minorHAnsi"/>
                <w:color w:val="000000"/>
              </w:rPr>
              <w:t>Parihaka</w:t>
            </w:r>
            <w:proofErr w:type="spellEnd"/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 in </w:t>
            </w:r>
            <w:r>
              <w:rPr>
                <w:rFonts w:asciiTheme="minorHAnsi" w:hAnsiTheme="minorHAnsi" w:cstheme="minorHAnsi"/>
                <w:color w:val="000000"/>
              </w:rPr>
              <w:t xml:space="preserve">Aotearoa New Zealand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through </w:t>
            </w:r>
            <w:r>
              <w:rPr>
                <w:rFonts w:asciiTheme="minorHAnsi" w:hAnsiTheme="minorHAnsi" w:cstheme="minorHAnsi"/>
                <w:color w:val="000000"/>
              </w:rPr>
              <w:t>an oral, visual, or written presentation</w:t>
            </w:r>
          </w:p>
          <w:p w14:paraId="486ACE5E" w14:textId="3268CD21" w:rsidR="008B2E81" w:rsidRPr="00463BB8" w:rsidRDefault="00463BB8" w:rsidP="00592214">
            <w:pPr>
              <w:pStyle w:val="ListParagraph"/>
              <w:numPr>
                <w:ilvl w:val="0"/>
                <w:numId w:val="10"/>
              </w:numPr>
              <w:spacing w:before="40" w:after="120"/>
              <w:ind w:left="714" w:hanging="357"/>
              <w:rPr>
                <w:color w:val="000000"/>
              </w:rPr>
            </w:pPr>
            <w:proofErr w:type="gramStart"/>
            <w:r w:rsidRPr="2B5EFC0E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>ompare and contrast</w:t>
            </w:r>
            <w:proofErr w:type="gramEnd"/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proofErr w:type="spellStart"/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>Parihaka</w:t>
            </w:r>
            <w:proofErr w:type="spellEnd"/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 xml:space="preserve"> with Guy Fawkes and the way the Fifth of November has been remembere</w:t>
            </w:r>
            <w:r w:rsidR="008127D3">
              <w:rPr>
                <w:rFonts w:asciiTheme="minorHAnsi" w:hAnsiTheme="minorHAnsi" w:cstheme="minorBidi"/>
                <w:color w:val="000000" w:themeColor="text1"/>
              </w:rPr>
              <w:t xml:space="preserve">d or 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>commemorated</w:t>
            </w:r>
            <w:r w:rsidR="008127D3">
              <w:rPr>
                <w:rFonts w:asciiTheme="minorHAnsi" w:hAnsiTheme="minorHAnsi" w:cstheme="minorBidi"/>
                <w:color w:val="000000" w:themeColor="text1"/>
              </w:rPr>
              <w:t xml:space="preserve"> in Aotearoa New Zealand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  <w:r w:rsidRPr="2B5EFC0E">
              <w:rPr>
                <w:rFonts w:asciiTheme="minorHAnsi" w:hAnsiTheme="minorHAnsi" w:cstheme="minorBidi"/>
                <w:color w:val="000000" w:themeColor="text1"/>
              </w:rPr>
              <w:t>This could be done through an examination of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 xml:space="preserve"> current commentary around the remembrance of these two days.</w:t>
            </w:r>
          </w:p>
          <w:p w14:paraId="00000040" w14:textId="2D0C4D7B" w:rsidR="008B2E81" w:rsidRPr="00463BB8" w:rsidRDefault="003303D7" w:rsidP="00592214">
            <w:pPr>
              <w:pStyle w:val="ListParagraph"/>
              <w:numPr>
                <w:ilvl w:val="0"/>
                <w:numId w:val="10"/>
              </w:numPr>
              <w:spacing w:before="40" w:after="120"/>
              <w:ind w:left="714" w:hanging="357"/>
              <w:rPr>
                <w:color w:val="000000"/>
              </w:rPr>
            </w:pPr>
            <w:r w:rsidRPr="2B5EFC0E">
              <w:rPr>
                <w:rFonts w:asciiTheme="minorHAnsi" w:hAnsiTheme="minorHAnsi" w:cstheme="minorBidi"/>
              </w:rPr>
              <w:t xml:space="preserve">analyse the Waitangi Commission report on the treatment of </w:t>
            </w:r>
            <w:proofErr w:type="spellStart"/>
            <w:r w:rsidRPr="2B5EFC0E">
              <w:rPr>
                <w:rFonts w:asciiTheme="minorHAnsi" w:hAnsiTheme="minorHAnsi" w:cstheme="minorBidi"/>
              </w:rPr>
              <w:t>Parihaka</w:t>
            </w:r>
            <w:proofErr w:type="spellEnd"/>
            <w:r w:rsidRPr="2B5EFC0E">
              <w:rPr>
                <w:rFonts w:asciiTheme="minorHAnsi" w:hAnsiTheme="minorHAnsi" w:cstheme="minorBidi"/>
              </w:rPr>
              <w:t xml:space="preserve"> prisoners and discuss </w:t>
            </w:r>
            <w:r w:rsidR="002F613A">
              <w:rPr>
                <w:rFonts w:asciiTheme="minorHAnsi" w:hAnsiTheme="minorHAnsi" w:cstheme="minorBidi"/>
              </w:rPr>
              <w:t xml:space="preserve">the </w:t>
            </w:r>
            <w:r w:rsidRPr="2B5EFC0E">
              <w:rPr>
                <w:rFonts w:asciiTheme="minorHAnsi" w:hAnsiTheme="minorHAnsi" w:cstheme="minorBidi"/>
              </w:rPr>
              <w:t>usefulness</w:t>
            </w:r>
            <w:r w:rsidR="002F613A">
              <w:rPr>
                <w:rFonts w:asciiTheme="minorHAnsi" w:hAnsiTheme="minorHAnsi" w:cstheme="minorBidi"/>
              </w:rPr>
              <w:t xml:space="preserve"> of this report</w:t>
            </w:r>
            <w:r w:rsidRPr="2B5EFC0E">
              <w:rPr>
                <w:rFonts w:asciiTheme="minorHAnsi" w:hAnsiTheme="minorHAnsi" w:cstheme="minorBidi"/>
              </w:rPr>
              <w:t xml:space="preserve"> as a historical source</w:t>
            </w:r>
          </w:p>
          <w:p w14:paraId="65F79017" w14:textId="17214FC7" w:rsidR="002F613A" w:rsidRDefault="003303D7" w:rsidP="002F613A">
            <w:pPr>
              <w:pStyle w:val="ListParagraph"/>
              <w:numPr>
                <w:ilvl w:val="0"/>
                <w:numId w:val="10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 w:rsidRPr="002F613A">
              <w:rPr>
                <w:rFonts w:asciiTheme="minorHAnsi" w:hAnsiTheme="minorHAnsi" w:cstheme="minorBidi"/>
              </w:rPr>
              <w:t xml:space="preserve">define and discuss the concepts of </w:t>
            </w:r>
            <w:proofErr w:type="spellStart"/>
            <w:r w:rsidRPr="002F613A">
              <w:rPr>
                <w:rFonts w:asciiTheme="minorHAnsi" w:hAnsiTheme="minorHAnsi" w:cstheme="minorBidi"/>
              </w:rPr>
              <w:t>pūrākau</w:t>
            </w:r>
            <w:proofErr w:type="spellEnd"/>
            <w:r w:rsidRPr="002F613A"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r w:rsidRPr="002F613A">
              <w:rPr>
                <w:rFonts w:asciiTheme="minorHAnsi" w:hAnsiTheme="minorHAnsi" w:cstheme="minorBidi"/>
              </w:rPr>
              <w:t>pakiwaitara</w:t>
            </w:r>
            <w:proofErr w:type="spellEnd"/>
            <w:r w:rsidRPr="002F613A">
              <w:rPr>
                <w:rFonts w:asciiTheme="minorHAnsi" w:hAnsiTheme="minorHAnsi" w:cstheme="minorBidi"/>
              </w:rPr>
              <w:t xml:space="preserve"> and how these concepts relate to the construction of </w:t>
            </w:r>
            <w:r w:rsidR="002F613A" w:rsidRPr="002F613A">
              <w:rPr>
                <w:rFonts w:asciiTheme="minorHAnsi" w:hAnsiTheme="minorHAnsi" w:cstheme="minorBidi"/>
              </w:rPr>
              <w:t>history. T</w:t>
            </w:r>
            <w:r w:rsidR="5FA05800" w:rsidRPr="002F613A">
              <w:rPr>
                <w:rFonts w:asciiTheme="minorHAnsi" w:hAnsiTheme="minorHAnsi" w:cstheme="minorBidi"/>
              </w:rPr>
              <w:t>hen</w:t>
            </w:r>
            <w:r w:rsidR="002F613A" w:rsidRPr="002F613A">
              <w:rPr>
                <w:rFonts w:asciiTheme="minorHAnsi" w:hAnsiTheme="minorHAnsi" w:cstheme="minorBidi"/>
              </w:rPr>
              <w:t>,</w:t>
            </w:r>
            <w:r w:rsidRPr="002F613A">
              <w:rPr>
                <w:rFonts w:asciiTheme="minorHAnsi" w:hAnsiTheme="minorHAnsi" w:cstheme="minorBidi"/>
              </w:rPr>
              <w:t xml:space="preserve"> explore the role of </w:t>
            </w:r>
            <w:proofErr w:type="spellStart"/>
            <w:r w:rsidRPr="002F613A">
              <w:rPr>
                <w:rFonts w:asciiTheme="minorHAnsi" w:hAnsiTheme="minorHAnsi" w:cstheme="minorBidi"/>
              </w:rPr>
              <w:t>pūrākau</w:t>
            </w:r>
            <w:proofErr w:type="spellEnd"/>
            <w:r w:rsidRPr="002F613A"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r w:rsidRPr="002F613A">
              <w:rPr>
                <w:rFonts w:asciiTheme="minorHAnsi" w:hAnsiTheme="minorHAnsi" w:cstheme="minorBidi"/>
              </w:rPr>
              <w:t>pakiwaitara</w:t>
            </w:r>
            <w:proofErr w:type="spellEnd"/>
            <w:r w:rsidRPr="002F613A">
              <w:rPr>
                <w:rFonts w:asciiTheme="minorHAnsi" w:hAnsiTheme="minorHAnsi" w:cstheme="minorBidi"/>
              </w:rPr>
              <w:t xml:space="preserve"> in the telling and retelling of </w:t>
            </w:r>
            <w:proofErr w:type="spellStart"/>
            <w:r w:rsidRPr="002F613A">
              <w:rPr>
                <w:rFonts w:asciiTheme="minorHAnsi" w:hAnsiTheme="minorHAnsi" w:cstheme="minorBidi"/>
              </w:rPr>
              <w:t>Parihaka</w:t>
            </w:r>
            <w:proofErr w:type="spellEnd"/>
            <w:r w:rsidR="002F613A" w:rsidRPr="002F613A">
              <w:rPr>
                <w:rFonts w:asciiTheme="minorHAnsi" w:hAnsiTheme="minorHAnsi" w:cstheme="minorBidi"/>
              </w:rPr>
              <w:t xml:space="preserve"> histories</w:t>
            </w:r>
            <w:r w:rsidRPr="002F613A">
              <w:rPr>
                <w:rFonts w:asciiTheme="minorHAnsi" w:hAnsiTheme="minorHAnsi" w:cstheme="minorBidi"/>
              </w:rPr>
              <w:t xml:space="preserve"> from the 1860s to the present. </w:t>
            </w:r>
            <w:proofErr w:type="gramStart"/>
            <w:r w:rsidRPr="002F613A">
              <w:rPr>
                <w:rFonts w:asciiTheme="minorHAnsi" w:hAnsiTheme="minorHAnsi" w:cstheme="minorBidi"/>
              </w:rPr>
              <w:t>In particular, explore</w:t>
            </w:r>
            <w:proofErr w:type="gramEnd"/>
            <w:r w:rsidRPr="002F613A">
              <w:rPr>
                <w:rFonts w:asciiTheme="minorHAnsi" w:hAnsiTheme="minorHAnsi" w:cstheme="minorBidi"/>
              </w:rPr>
              <w:t xml:space="preserve"> the roles given to Te Whiti o Rongomai and </w:t>
            </w:r>
            <w:proofErr w:type="spellStart"/>
            <w:r w:rsidRPr="002F613A">
              <w:rPr>
                <w:rFonts w:asciiTheme="minorHAnsi" w:hAnsiTheme="minorHAnsi" w:cstheme="minorBidi"/>
              </w:rPr>
              <w:t>Tohu</w:t>
            </w:r>
            <w:proofErr w:type="spellEnd"/>
            <w:r w:rsidRPr="002F613A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Pr="002F613A">
              <w:rPr>
                <w:rFonts w:asciiTheme="minorHAnsi" w:hAnsiTheme="minorHAnsi" w:cstheme="minorBidi"/>
              </w:rPr>
              <w:t>Kākahi</w:t>
            </w:r>
            <w:proofErr w:type="spellEnd"/>
            <w:r w:rsidRPr="002F613A">
              <w:rPr>
                <w:rFonts w:asciiTheme="minorHAnsi" w:hAnsiTheme="minorHAnsi" w:cstheme="minorBidi"/>
              </w:rPr>
              <w:t xml:space="preserve"> in </w:t>
            </w:r>
            <w:r w:rsidR="002F613A">
              <w:rPr>
                <w:rFonts w:asciiTheme="minorHAnsi" w:hAnsiTheme="minorHAnsi" w:cstheme="minorBidi"/>
              </w:rPr>
              <w:t>these histories.</w:t>
            </w:r>
          </w:p>
          <w:p w14:paraId="46C7F797" w14:textId="77777777" w:rsidR="002F613A" w:rsidRPr="002F613A" w:rsidRDefault="00463BB8" w:rsidP="002F613A">
            <w:pPr>
              <w:pStyle w:val="ListParagraph"/>
              <w:numPr>
                <w:ilvl w:val="0"/>
                <w:numId w:val="6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 w:rsidRPr="2B5EFC0E">
              <w:rPr>
                <w:rFonts w:asciiTheme="minorHAnsi" w:hAnsiTheme="minorHAnsi" w:cstheme="minorBidi"/>
              </w:rPr>
              <w:t>use</w:t>
            </w:r>
            <w:r w:rsidR="003303D7" w:rsidRPr="2B5EFC0E">
              <w:rPr>
                <w:rFonts w:asciiTheme="minorHAnsi" w:hAnsiTheme="minorHAnsi" w:cstheme="minorBidi"/>
              </w:rPr>
              <w:t xml:space="preserve"> a range of </w:t>
            </w:r>
            <w:r w:rsidRPr="2B5EFC0E">
              <w:rPr>
                <w:rFonts w:asciiTheme="minorHAnsi" w:hAnsiTheme="minorHAnsi" w:cstheme="minorBidi"/>
              </w:rPr>
              <w:t xml:space="preserve">historical </w:t>
            </w:r>
            <w:r w:rsidR="003303D7" w:rsidRPr="2B5EFC0E">
              <w:rPr>
                <w:rFonts w:asciiTheme="minorHAnsi" w:hAnsiTheme="minorHAnsi" w:cstheme="minorBidi"/>
              </w:rPr>
              <w:t xml:space="preserve">significance lenses to engage </w:t>
            </w:r>
            <w:r w:rsidRPr="2B5EFC0E">
              <w:rPr>
                <w:rFonts w:asciiTheme="minorHAnsi" w:hAnsiTheme="minorHAnsi" w:cstheme="minorBidi"/>
              </w:rPr>
              <w:t xml:space="preserve">with </w:t>
            </w:r>
            <w:r w:rsidR="003303D7" w:rsidRPr="2B5EFC0E">
              <w:rPr>
                <w:rFonts w:asciiTheme="minorHAnsi" w:hAnsiTheme="minorHAnsi" w:cstheme="minorBidi"/>
              </w:rPr>
              <w:t xml:space="preserve">the invasion of </w:t>
            </w:r>
            <w:proofErr w:type="spellStart"/>
            <w:r w:rsidR="003303D7" w:rsidRPr="2B5EFC0E">
              <w:rPr>
                <w:rFonts w:asciiTheme="minorHAnsi" w:hAnsiTheme="minorHAnsi" w:cstheme="minorBidi"/>
              </w:rPr>
              <w:t>Parihaka</w:t>
            </w:r>
            <w:proofErr w:type="spellEnd"/>
            <w:r w:rsidR="003303D7" w:rsidRPr="2B5EFC0E">
              <w:rPr>
                <w:rFonts w:asciiTheme="minorHAnsi" w:hAnsiTheme="minorHAnsi" w:cstheme="minorBidi"/>
              </w:rPr>
              <w:t>.</w:t>
            </w:r>
            <w:r w:rsidRPr="2B5EFC0E">
              <w:rPr>
                <w:rFonts w:asciiTheme="minorHAnsi" w:hAnsiTheme="minorHAnsi" w:cstheme="minorBidi"/>
              </w:rPr>
              <w:t xml:space="preserve"> They may choose to consider</w:t>
            </w:r>
            <w:r w:rsidR="27A7C7B0" w:rsidRPr="2B5EFC0E">
              <w:rPr>
                <w:rFonts w:asciiTheme="minorHAnsi" w:hAnsiTheme="minorHAnsi" w:cstheme="minorBidi"/>
              </w:rPr>
              <w:t>:</w:t>
            </w:r>
          </w:p>
          <w:p w14:paraId="4F7B91EF" w14:textId="2FF63E9B" w:rsidR="002F613A" w:rsidRPr="002F613A" w:rsidRDefault="002F613A" w:rsidP="002F613A">
            <w:pPr>
              <w:pStyle w:val="ListParagraph"/>
              <w:numPr>
                <w:ilvl w:val="1"/>
                <w:numId w:val="6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</w:t>
            </w:r>
            <w:r w:rsidR="00463BB8" w:rsidRPr="002F613A">
              <w:rPr>
                <w:rFonts w:asciiTheme="minorHAnsi" w:hAnsiTheme="minorHAnsi" w:cstheme="minorBidi"/>
              </w:rPr>
              <w:t xml:space="preserve">o whom the invasion of </w:t>
            </w:r>
            <w:proofErr w:type="spellStart"/>
            <w:r w:rsidR="00463BB8" w:rsidRPr="002F613A">
              <w:rPr>
                <w:rFonts w:asciiTheme="minorHAnsi" w:hAnsiTheme="minorHAnsi" w:cstheme="minorBidi"/>
              </w:rPr>
              <w:t>Par</w:t>
            </w:r>
            <w:r w:rsidR="21536C7D" w:rsidRPr="002F613A">
              <w:rPr>
                <w:rFonts w:asciiTheme="minorHAnsi" w:hAnsiTheme="minorHAnsi" w:cstheme="minorBidi"/>
              </w:rPr>
              <w:t>ih</w:t>
            </w:r>
            <w:r w:rsidR="00463BB8" w:rsidRPr="002F613A">
              <w:rPr>
                <w:rFonts w:asciiTheme="minorHAnsi" w:hAnsiTheme="minorHAnsi" w:cstheme="minorBidi"/>
              </w:rPr>
              <w:t>aka</w:t>
            </w:r>
            <w:proofErr w:type="spellEnd"/>
            <w:r w:rsidR="00463BB8" w:rsidRPr="002F613A">
              <w:rPr>
                <w:rFonts w:asciiTheme="minorHAnsi" w:hAnsiTheme="minorHAnsi" w:cstheme="minorBidi"/>
              </w:rPr>
              <w:t xml:space="preserve"> is significant and why it is significant to them</w:t>
            </w:r>
          </w:p>
          <w:p w14:paraId="1138C837" w14:textId="77777777" w:rsidR="002F613A" w:rsidRPr="002F613A" w:rsidRDefault="002F613A" w:rsidP="002F613A">
            <w:pPr>
              <w:pStyle w:val="ListParagraph"/>
              <w:numPr>
                <w:ilvl w:val="1"/>
                <w:numId w:val="6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</w:t>
            </w:r>
            <w:r w:rsidR="003303D7" w:rsidRPr="002F613A">
              <w:rPr>
                <w:rFonts w:asciiTheme="minorHAnsi" w:hAnsiTheme="minorHAnsi" w:cstheme="minorBidi"/>
              </w:rPr>
              <w:t xml:space="preserve">ow </w:t>
            </w:r>
            <w:r w:rsidR="00463BB8" w:rsidRPr="002F613A">
              <w:rPr>
                <w:rFonts w:asciiTheme="minorHAnsi" w:hAnsiTheme="minorHAnsi" w:cstheme="minorBidi"/>
              </w:rPr>
              <w:t>perceptions of</w:t>
            </w:r>
            <w:r w:rsidR="003303D7" w:rsidRPr="002F613A">
              <w:rPr>
                <w:rFonts w:asciiTheme="minorHAnsi" w:hAnsiTheme="minorHAnsi" w:cstheme="minorBidi"/>
              </w:rPr>
              <w:t xml:space="preserve"> this event</w:t>
            </w:r>
            <w:r w:rsidR="00463BB8" w:rsidRPr="002F613A">
              <w:rPr>
                <w:rFonts w:asciiTheme="minorHAnsi" w:hAnsiTheme="minorHAnsi" w:cstheme="minorBidi"/>
              </w:rPr>
              <w:t xml:space="preserve"> have</w:t>
            </w:r>
            <w:r w:rsidR="003303D7" w:rsidRPr="002F613A">
              <w:rPr>
                <w:rFonts w:asciiTheme="minorHAnsi" w:hAnsiTheme="minorHAnsi" w:cstheme="minorBidi"/>
              </w:rPr>
              <w:t xml:space="preserve"> changed and/or </w:t>
            </w:r>
            <w:r w:rsidR="00463BB8" w:rsidRPr="002F613A">
              <w:rPr>
                <w:rFonts w:asciiTheme="minorHAnsi" w:hAnsiTheme="minorHAnsi" w:cstheme="minorBidi"/>
              </w:rPr>
              <w:t xml:space="preserve">remained the same </w:t>
            </w:r>
            <w:r w:rsidR="003303D7" w:rsidRPr="002F613A">
              <w:rPr>
                <w:rFonts w:asciiTheme="minorHAnsi" w:hAnsiTheme="minorHAnsi" w:cstheme="minorBidi"/>
              </w:rPr>
              <w:t>over time</w:t>
            </w:r>
            <w:r>
              <w:rPr>
                <w:rFonts w:asciiTheme="minorHAnsi" w:hAnsiTheme="minorHAnsi" w:cstheme="minorBidi"/>
              </w:rPr>
              <w:t>; and/or</w:t>
            </w:r>
          </w:p>
          <w:p w14:paraId="00000045" w14:textId="65839230" w:rsidR="008B2E81" w:rsidRPr="002F613A" w:rsidRDefault="002F613A" w:rsidP="6EBC2213">
            <w:pPr>
              <w:pStyle w:val="ListParagraph"/>
              <w:numPr>
                <w:ilvl w:val="1"/>
                <w:numId w:val="6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 w:rsidRPr="6EBC2213">
              <w:rPr>
                <w:rFonts w:asciiTheme="minorHAnsi" w:hAnsiTheme="minorHAnsi" w:cstheme="minorBidi"/>
              </w:rPr>
              <w:lastRenderedPageBreak/>
              <w:t>h</w:t>
            </w:r>
            <w:r w:rsidR="003303D7" w:rsidRPr="6EBC2213">
              <w:rPr>
                <w:rFonts w:asciiTheme="minorHAnsi" w:hAnsiTheme="minorHAnsi" w:cstheme="minorBidi"/>
              </w:rPr>
              <w:t xml:space="preserve">ow </w:t>
            </w:r>
            <w:r w:rsidR="00463BB8" w:rsidRPr="6EBC2213">
              <w:rPr>
                <w:rFonts w:asciiTheme="minorHAnsi" w:hAnsiTheme="minorHAnsi" w:cstheme="minorBidi"/>
              </w:rPr>
              <w:t>the</w:t>
            </w:r>
            <w:r w:rsidR="003303D7" w:rsidRPr="6EBC2213">
              <w:rPr>
                <w:rFonts w:asciiTheme="minorHAnsi" w:hAnsiTheme="minorHAnsi" w:cstheme="minorBidi"/>
              </w:rPr>
              <w:t xml:space="preserve"> lens</w:t>
            </w:r>
            <w:r w:rsidR="00463BB8" w:rsidRPr="6EBC2213">
              <w:rPr>
                <w:rFonts w:asciiTheme="minorHAnsi" w:hAnsiTheme="minorHAnsi" w:cstheme="minorBidi"/>
              </w:rPr>
              <w:t>es</w:t>
            </w:r>
            <w:r w:rsidR="003303D7" w:rsidRPr="6EBC2213">
              <w:rPr>
                <w:rFonts w:asciiTheme="minorHAnsi" w:hAnsiTheme="minorHAnsi" w:cstheme="minorBidi"/>
              </w:rPr>
              <w:t xml:space="preserve"> </w:t>
            </w:r>
            <w:r w:rsidR="00463BB8" w:rsidRPr="6EBC2213">
              <w:rPr>
                <w:rFonts w:asciiTheme="minorHAnsi" w:hAnsiTheme="minorHAnsi" w:cstheme="minorBidi"/>
              </w:rPr>
              <w:t>of</w:t>
            </w:r>
            <w:r w:rsidR="003303D7" w:rsidRPr="6EBC2213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3303D7" w:rsidRPr="6EBC2213">
              <w:rPr>
                <w:rFonts w:asciiTheme="minorHAnsi" w:hAnsiTheme="minorHAnsi" w:cstheme="minorBidi"/>
              </w:rPr>
              <w:t>tūrangawaewae</w:t>
            </w:r>
            <w:proofErr w:type="spellEnd"/>
            <w:r w:rsidR="003303D7" w:rsidRPr="6EBC2213">
              <w:rPr>
                <w:rFonts w:asciiTheme="minorHAnsi" w:hAnsiTheme="minorHAnsi" w:cstheme="minorBidi"/>
              </w:rPr>
              <w:t>, whakapapa, whanaungatanga</w:t>
            </w:r>
            <w:r w:rsidR="00463BB8" w:rsidRPr="6EBC2213">
              <w:rPr>
                <w:rFonts w:asciiTheme="minorHAnsi" w:hAnsiTheme="minorHAnsi" w:cstheme="minorBidi"/>
              </w:rPr>
              <w:t>,</w:t>
            </w:r>
            <w:r w:rsidR="003303D7" w:rsidRPr="6EBC2213"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r w:rsidR="003303D7" w:rsidRPr="6EBC2213">
              <w:rPr>
                <w:rFonts w:asciiTheme="minorHAnsi" w:hAnsiTheme="minorHAnsi" w:cstheme="minorBidi"/>
              </w:rPr>
              <w:t>w</w:t>
            </w:r>
            <w:r w:rsidR="3CF44A92" w:rsidRPr="6EBC2213">
              <w:rPr>
                <w:rFonts w:asciiTheme="minorHAnsi" w:hAnsiTheme="minorHAnsi" w:cstheme="minorBidi"/>
              </w:rPr>
              <w:t>ā</w:t>
            </w:r>
            <w:r w:rsidR="003303D7" w:rsidRPr="6EBC2213">
              <w:rPr>
                <w:rFonts w:asciiTheme="minorHAnsi" w:hAnsiTheme="minorHAnsi" w:cstheme="minorBidi"/>
              </w:rPr>
              <w:t>hi</w:t>
            </w:r>
            <w:proofErr w:type="spellEnd"/>
            <w:r w:rsidR="003303D7" w:rsidRPr="6EBC2213">
              <w:rPr>
                <w:rFonts w:asciiTheme="minorHAnsi" w:hAnsiTheme="minorHAnsi" w:cstheme="minorBidi"/>
              </w:rPr>
              <w:t xml:space="preserve"> </w:t>
            </w:r>
            <w:proofErr w:type="spellStart"/>
            <w:r w:rsidR="003303D7" w:rsidRPr="6EBC2213">
              <w:rPr>
                <w:rFonts w:asciiTheme="minorHAnsi" w:hAnsiTheme="minorHAnsi" w:cstheme="minorBidi"/>
              </w:rPr>
              <w:t>tapu</w:t>
            </w:r>
            <w:proofErr w:type="spellEnd"/>
            <w:r w:rsidR="003303D7" w:rsidRPr="6EBC2213">
              <w:rPr>
                <w:rFonts w:asciiTheme="minorHAnsi" w:hAnsiTheme="minorHAnsi" w:cstheme="minorBidi"/>
              </w:rPr>
              <w:t xml:space="preserve"> </w:t>
            </w:r>
            <w:r w:rsidR="00463BB8" w:rsidRPr="6EBC2213">
              <w:rPr>
                <w:rFonts w:asciiTheme="minorHAnsi" w:hAnsiTheme="minorHAnsi" w:cstheme="minorBidi"/>
              </w:rPr>
              <w:t xml:space="preserve">could help them </w:t>
            </w:r>
            <w:r w:rsidR="003303D7" w:rsidRPr="6EBC2213">
              <w:rPr>
                <w:rFonts w:asciiTheme="minorHAnsi" w:hAnsiTheme="minorHAnsi" w:cstheme="minorBidi"/>
              </w:rPr>
              <w:t xml:space="preserve">to understand the significance of the invasion of </w:t>
            </w:r>
            <w:proofErr w:type="spellStart"/>
            <w:r w:rsidR="003303D7" w:rsidRPr="6EBC2213">
              <w:rPr>
                <w:rFonts w:asciiTheme="minorHAnsi" w:hAnsiTheme="minorHAnsi" w:cstheme="minorBidi"/>
              </w:rPr>
              <w:t>Parihaka</w:t>
            </w:r>
            <w:proofErr w:type="spellEnd"/>
            <w:r w:rsidR="00463BB8" w:rsidRPr="6EBC2213">
              <w:rPr>
                <w:rFonts w:asciiTheme="minorHAnsi" w:hAnsiTheme="minorHAnsi" w:cstheme="minorBidi"/>
              </w:rPr>
              <w:t xml:space="preserve">, especially to </w:t>
            </w:r>
            <w:proofErr w:type="spellStart"/>
            <w:r w:rsidR="00463BB8" w:rsidRPr="6EBC2213">
              <w:rPr>
                <w:rFonts w:asciiTheme="minorHAnsi" w:hAnsiTheme="minorHAnsi" w:cstheme="minorBidi"/>
              </w:rPr>
              <w:t>tangata</w:t>
            </w:r>
            <w:proofErr w:type="spellEnd"/>
            <w:r w:rsidR="00463BB8" w:rsidRPr="6EBC2213">
              <w:rPr>
                <w:rFonts w:asciiTheme="minorHAnsi" w:hAnsiTheme="minorHAnsi" w:cstheme="minorBidi"/>
              </w:rPr>
              <w:t xml:space="preserve"> whenua.</w:t>
            </w:r>
          </w:p>
          <w:p w14:paraId="00000047" w14:textId="792025D5" w:rsidR="008B2E81" w:rsidRPr="00760546" w:rsidRDefault="004662C3" w:rsidP="00592214">
            <w:pPr>
              <w:tabs>
                <w:tab w:val="left" w:pos="3700"/>
              </w:tabs>
              <w:spacing w:before="40" w:after="120" w:line="276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4662C3">
              <w:rPr>
                <w:rFonts w:asciiTheme="minorHAnsi" w:hAnsiTheme="minorHAnsi" w:cstheme="minorHAnsi"/>
                <w:b/>
                <w:color w:val="FF0000"/>
              </w:rPr>
              <w:t xml:space="preserve">The study of the concepts </w:t>
            </w:r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cause, whanaungatanga, </w:t>
            </w:r>
            <w:proofErr w:type="spellStart"/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>tūrangawaewae</w:t>
            </w:r>
            <w:proofErr w:type="spellEnd"/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, whakapapa, </w:t>
            </w:r>
            <w:proofErr w:type="spellStart"/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>wāhi</w:t>
            </w:r>
            <w:proofErr w:type="spellEnd"/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  <w:proofErr w:type="spellStart"/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>tapu</w:t>
            </w:r>
            <w:proofErr w:type="spellEnd"/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and, </w:t>
            </w:r>
            <w:r w:rsidRPr="004662C3">
              <w:rPr>
                <w:rFonts w:asciiTheme="minorHAnsi" w:hAnsiTheme="minorHAnsi" w:cstheme="minorHAnsi"/>
                <w:b/>
                <w:iCs/>
                <w:color w:val="FF0000"/>
              </w:rPr>
              <w:t>along with the surrounding</w:t>
            </w:r>
            <w:r w:rsidRPr="004662C3">
              <w:rPr>
                <w:rFonts w:asciiTheme="minorHAnsi" w:hAnsiTheme="minorHAnsi" w:cstheme="minorHAnsi"/>
                <w:b/>
                <w:color w:val="FF0000"/>
              </w:rPr>
              <w:t xml:space="preserve"> learning activities for this topic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 may</w:t>
            </w:r>
            <w:r w:rsidRPr="004662C3">
              <w:rPr>
                <w:rFonts w:asciiTheme="minorHAnsi" w:hAnsiTheme="minorHAnsi" w:cstheme="minorHAnsi"/>
                <w:b/>
                <w:color w:val="FF0000"/>
              </w:rPr>
              <w:t xml:space="preserve"> help students to prepare for Achievement Standard 1.3 (External), </w:t>
            </w:r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>Demonstrate understanding of historical concepts in historical context.</w:t>
            </w:r>
            <w:r w:rsidR="0076054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The 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other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learning activities for 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>this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 topic </w:t>
            </w:r>
            <w:r w:rsidR="00760546" w:rsidRPr="00760546">
              <w:rPr>
                <w:rFonts w:asciiTheme="minorHAnsi" w:hAnsiTheme="minorHAnsi" w:cstheme="minorHAnsi"/>
                <w:b/>
                <w:color w:val="FF0000"/>
              </w:rPr>
              <w:t xml:space="preserve">may help students to prepare 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for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>Achievement Standard 1.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4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>(External)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>,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760546" w:rsidRPr="00C675AD">
              <w:rPr>
                <w:rFonts w:asciiTheme="minorHAnsi" w:hAnsiTheme="minorHAnsi" w:cstheme="minorHAnsi"/>
                <w:b/>
                <w:i/>
                <w:color w:val="FF0000"/>
              </w:rPr>
              <w:t>Demonstrate understanding of perspectives on a historical context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>.</w:t>
            </w:r>
          </w:p>
        </w:tc>
        <w:tc>
          <w:tcPr>
            <w:tcW w:w="1706" w:type="dxa"/>
          </w:tcPr>
          <w:p w14:paraId="00000048" w14:textId="1A02FDC2" w:rsidR="008B2E81" w:rsidRDefault="00C37257" w:rsidP="00592214">
            <w:pP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lastRenderedPageBreak/>
              <w:t>9</w:t>
            </w:r>
            <w:r w:rsidR="003303D7">
              <w:rPr>
                <w:color w:val="231F20"/>
              </w:rPr>
              <w:t xml:space="preserve"> weeks</w:t>
            </w:r>
          </w:p>
        </w:tc>
      </w:tr>
      <w:tr w:rsidR="001542E2" w14:paraId="5A1E10CC" w14:textId="77777777" w:rsidTr="6EBC2213">
        <w:trPr>
          <w:trHeight w:val="1163"/>
        </w:trPr>
        <w:tc>
          <w:tcPr>
            <w:tcW w:w="5097" w:type="dxa"/>
            <w:shd w:val="clear" w:color="auto" w:fill="auto"/>
          </w:tcPr>
          <w:p w14:paraId="00000049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Describe how people determine the significance of historical events and places</w:t>
            </w:r>
          </w:p>
          <w:p w14:paraId="0000004A" w14:textId="77777777" w:rsidR="008B2E81" w:rsidRPr="002975A9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Explore how shared identities have been shaped and have contributed to social cohesion and conflict.</w:t>
            </w:r>
          </w:p>
          <w:p w14:paraId="0000004B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Develop a historical narrative using historical concepts and selected evidence.</w:t>
            </w:r>
          </w:p>
          <w:p w14:paraId="0000004C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 xml:space="preserve">Explore how whakapapa, whanaungatanga, and </w:t>
            </w:r>
            <w:proofErr w:type="spellStart"/>
            <w:r w:rsidRPr="002975A9">
              <w:rPr>
                <w:i/>
                <w:color w:val="231F20"/>
              </w:rPr>
              <w:t>tūrangawaewae</w:t>
            </w:r>
            <w:proofErr w:type="spellEnd"/>
            <w:r w:rsidRPr="002975A9">
              <w:rPr>
                <w:i/>
                <w:color w:val="231F20"/>
              </w:rPr>
              <w:t xml:space="preserve"> have shaped the past.</w:t>
            </w:r>
          </w:p>
          <w:p w14:paraId="0000004E" w14:textId="140E8342" w:rsidR="008B2E81" w:rsidRPr="002975A9" w:rsidRDefault="003303D7" w:rsidP="00592214">
            <w:pPr>
              <w:spacing w:before="40" w:after="40" w:line="276" w:lineRule="auto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Explore how mana has shaped the past.</w:t>
            </w:r>
          </w:p>
        </w:tc>
        <w:tc>
          <w:tcPr>
            <w:tcW w:w="15880" w:type="dxa"/>
            <w:shd w:val="clear" w:color="auto" w:fill="auto"/>
          </w:tcPr>
          <w:p w14:paraId="0000004F" w14:textId="77777777" w:rsidR="008B2E81" w:rsidRDefault="003303D7" w:rsidP="00592214">
            <w:pPr>
              <w:pStyle w:val="Heading2"/>
              <w:spacing w:after="40"/>
              <w:rPr>
                <w:color w:val="231F20"/>
              </w:rPr>
            </w:pPr>
            <w:r>
              <w:t xml:space="preserve">Dame </w:t>
            </w:r>
            <w:proofErr w:type="spellStart"/>
            <w:r>
              <w:t>Whina</w:t>
            </w:r>
            <w:proofErr w:type="spellEnd"/>
            <w:r>
              <w:t xml:space="preserve"> Cooper and the 1975 Land March</w:t>
            </w:r>
          </w:p>
          <w:p w14:paraId="3D7FC2F9" w14:textId="4374ECC3" w:rsidR="00937570" w:rsidRDefault="00937570" w:rsidP="008E73C0">
            <w:pPr>
              <w:spacing w:after="0"/>
              <w:rPr>
                <w:b/>
                <w:bCs/>
              </w:rPr>
            </w:pPr>
            <w:proofErr w:type="spellStart"/>
            <w:r w:rsidRPr="2B5EFC0E">
              <w:rPr>
                <w:b/>
                <w:bCs/>
              </w:rPr>
              <w:t>H</w:t>
            </w:r>
            <w:r w:rsidR="00FA4DF9">
              <w:rPr>
                <w:b/>
                <w:bCs/>
              </w:rPr>
              <w:t>ī</w:t>
            </w:r>
            <w:r w:rsidRPr="2B5EFC0E">
              <w:rPr>
                <w:b/>
                <w:bCs/>
              </w:rPr>
              <w:t>koi</w:t>
            </w:r>
            <w:proofErr w:type="spellEnd"/>
          </w:p>
          <w:p w14:paraId="73A324DE" w14:textId="2CCB1FCD" w:rsidR="00DB32A4" w:rsidRDefault="00DB32A4" w:rsidP="008E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40" w:line="276" w:lineRule="auto"/>
            </w:pPr>
            <w:r>
              <w:t>Students will:</w:t>
            </w:r>
          </w:p>
          <w:p w14:paraId="00000050" w14:textId="28314A0C" w:rsidR="008B2E81" w:rsidRDefault="003303D7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watch the documentary </w:t>
            </w:r>
            <w:proofErr w:type="spellStart"/>
            <w:r w:rsidRPr="6EBC2213">
              <w:rPr>
                <w:i/>
                <w:iCs/>
              </w:rPr>
              <w:t>Hīkoi</w:t>
            </w:r>
            <w:proofErr w:type="spellEnd"/>
            <w:r>
              <w:t xml:space="preserve"> and </w:t>
            </w:r>
            <w:r w:rsidR="00DB32A4">
              <w:t xml:space="preserve">use it to </w:t>
            </w:r>
            <w:r>
              <w:t>explore the concepts of whakapapa, mana</w:t>
            </w:r>
            <w:r w:rsidR="00DB32A4">
              <w:t>,</w:t>
            </w:r>
            <w:r>
              <w:t xml:space="preserve"> and </w:t>
            </w:r>
            <w:r w:rsidRPr="6EBC2213">
              <w:rPr>
                <w:lang w:val="mi-NZ"/>
              </w:rPr>
              <w:t>tūrangawaewae</w:t>
            </w:r>
            <w:r>
              <w:t>.</w:t>
            </w:r>
            <w:r w:rsidR="00DB32A4">
              <w:t xml:space="preserve"> They could then </w:t>
            </w:r>
            <w:r>
              <w:t>create a presentation to demonstrate their understanding of the Māori Land March.</w:t>
            </w:r>
          </w:p>
          <w:p w14:paraId="440A77B1" w14:textId="0C3161D4" w:rsidR="00DB32A4" w:rsidRDefault="00DB32A4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interpret a range of secondary sources (curated by their teacher) </w:t>
            </w:r>
            <w:r w:rsidR="003303D7">
              <w:t xml:space="preserve">to gain a deeper understanding of </w:t>
            </w:r>
            <w:r w:rsidR="00016C93">
              <w:t xml:space="preserve">the </w:t>
            </w:r>
            <w:r w:rsidR="003303D7">
              <w:t xml:space="preserve">Land March </w:t>
            </w:r>
          </w:p>
          <w:p w14:paraId="1E681376" w14:textId="6BA48C78" w:rsidR="00016C93" w:rsidRDefault="00DB32A4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create </w:t>
            </w:r>
            <w:r w:rsidR="003303D7">
              <w:t xml:space="preserve">a timeline of the </w:t>
            </w:r>
            <w:r w:rsidR="5B61F153">
              <w:t>variety of</w:t>
            </w:r>
            <w:r w:rsidR="003303D7">
              <w:t xml:space="preserve"> causes that </w:t>
            </w:r>
            <w:r w:rsidR="21BF6A1F">
              <w:t xml:space="preserve">contributed to </w:t>
            </w:r>
            <w:r w:rsidR="003303D7">
              <w:t>the Land March</w:t>
            </w:r>
          </w:p>
          <w:p w14:paraId="0A340E8F" w14:textId="7A9D5940" w:rsidR="00016C93" w:rsidRDefault="003303D7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create a profile of </w:t>
            </w:r>
            <w:r w:rsidR="00016C93">
              <w:t xml:space="preserve">a </w:t>
            </w:r>
            <w:r>
              <w:t xml:space="preserve">key group </w:t>
            </w:r>
            <w:r w:rsidR="00016C93">
              <w:t>or</w:t>
            </w:r>
            <w:r>
              <w:t xml:space="preserve"> pe</w:t>
            </w:r>
            <w:r w:rsidR="00016C93">
              <w:t>rson</w:t>
            </w:r>
            <w:r>
              <w:t xml:space="preserve"> in</w:t>
            </w:r>
            <w:r w:rsidR="00016C93">
              <w:t>volved in</w:t>
            </w:r>
            <w:r>
              <w:t xml:space="preserve"> the Māori Land March, for example Te </w:t>
            </w:r>
            <w:r w:rsidRPr="6EBC2213">
              <w:rPr>
                <w:lang w:val="mi-NZ"/>
              </w:rPr>
              <w:t xml:space="preserve">Rōpū </w:t>
            </w:r>
            <w:r>
              <w:t>Matakite</w:t>
            </w:r>
            <w:r w:rsidR="00760546">
              <w:t>,</w:t>
            </w:r>
            <w:r>
              <w:t xml:space="preserve"> </w:t>
            </w:r>
            <w:r w:rsidR="00016C93">
              <w:t>or</w:t>
            </w:r>
            <w:r>
              <w:t xml:space="preserve"> Dame </w:t>
            </w:r>
            <w:proofErr w:type="spellStart"/>
            <w:r>
              <w:t>Whina</w:t>
            </w:r>
            <w:proofErr w:type="spellEnd"/>
            <w:r>
              <w:t xml:space="preserve"> Cooper</w:t>
            </w:r>
            <w:r w:rsidR="00016C93">
              <w:t>. T</w:t>
            </w:r>
            <w:r>
              <w:t>hrough this</w:t>
            </w:r>
            <w:r w:rsidR="00016C93">
              <w:t xml:space="preserve"> exercise, s</w:t>
            </w:r>
            <w:r>
              <w:t xml:space="preserve">tudents </w:t>
            </w:r>
            <w:r w:rsidR="00760546">
              <w:t>may begin t</w:t>
            </w:r>
            <w:r>
              <w:t xml:space="preserve">o think about the significance of </w:t>
            </w:r>
            <w:r w:rsidR="00016C93">
              <w:t>these people’s roles</w:t>
            </w:r>
            <w:r>
              <w:t xml:space="preserve"> in the Land March</w:t>
            </w:r>
          </w:p>
          <w:p w14:paraId="4A9329F9" w14:textId="0C2A1C38" w:rsidR="00D83A12" w:rsidRDefault="1B3FFA08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read or listen to the itinerary of </w:t>
            </w:r>
            <w:r w:rsidR="5BE5A5E4">
              <w:t>Te</w:t>
            </w:r>
            <w:r w:rsidR="003303D7">
              <w:t xml:space="preserve"> </w:t>
            </w:r>
            <w:r w:rsidR="003303D7" w:rsidRPr="6EBC2213">
              <w:rPr>
                <w:lang w:val="mi-NZ"/>
              </w:rPr>
              <w:t>R</w:t>
            </w:r>
            <w:r w:rsidR="3A35105D" w:rsidRPr="6EBC2213">
              <w:rPr>
                <w:lang w:val="mi-NZ"/>
              </w:rPr>
              <w:t>ōpū</w:t>
            </w:r>
            <w:r w:rsidR="003303D7" w:rsidRPr="6EBC2213">
              <w:rPr>
                <w:lang w:val="mi-NZ"/>
              </w:rPr>
              <w:t xml:space="preserve"> </w:t>
            </w:r>
            <w:r w:rsidR="003303D7">
              <w:t xml:space="preserve">o </w:t>
            </w:r>
            <w:proofErr w:type="spellStart"/>
            <w:r w:rsidR="003303D7">
              <w:t>te</w:t>
            </w:r>
            <w:proofErr w:type="spellEnd"/>
            <w:r w:rsidR="003303D7">
              <w:t xml:space="preserve"> Matakite for the Land March and </w:t>
            </w:r>
            <w:r w:rsidR="00016C93">
              <w:t xml:space="preserve">use this to </w:t>
            </w:r>
            <w:r w:rsidR="003303D7">
              <w:t>create an annotated map of the route</w:t>
            </w:r>
            <w:r w:rsidR="00760546">
              <w:t xml:space="preserve"> </w:t>
            </w:r>
            <w:r w:rsidR="00016C93">
              <w:t>and precautions</w:t>
            </w:r>
            <w:r w:rsidR="00760546">
              <w:t xml:space="preserve"> </w:t>
            </w:r>
            <w:r w:rsidR="00016C93">
              <w:t xml:space="preserve">taken by the </w:t>
            </w:r>
            <w:proofErr w:type="spellStart"/>
            <w:r w:rsidR="00760546">
              <w:t>h</w:t>
            </w:r>
            <w:r w:rsidR="00FA4DF9">
              <w:t>ī</w:t>
            </w:r>
            <w:r w:rsidR="00760546">
              <w:t>koi</w:t>
            </w:r>
            <w:proofErr w:type="spellEnd"/>
            <w:r w:rsidR="00016C93">
              <w:t xml:space="preserve"> </w:t>
            </w:r>
            <w:r w:rsidR="003303D7">
              <w:t>to protect the people joining the march</w:t>
            </w:r>
          </w:p>
          <w:p w14:paraId="11D7D0AF" w14:textId="77777777" w:rsidR="00D83A12" w:rsidRDefault="00D83A12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use primary sources to understand perspectives of </w:t>
            </w:r>
            <w:r w:rsidR="003303D7">
              <w:t xml:space="preserve">the Government and Te </w:t>
            </w:r>
            <w:r w:rsidR="003303D7" w:rsidRPr="6EBC2213">
              <w:rPr>
                <w:lang w:val="mi-NZ"/>
              </w:rPr>
              <w:t xml:space="preserve">Rōpū </w:t>
            </w:r>
            <w:r w:rsidR="003303D7">
              <w:t xml:space="preserve">o </w:t>
            </w:r>
            <w:proofErr w:type="spellStart"/>
            <w:r w:rsidR="003303D7">
              <w:t>te</w:t>
            </w:r>
            <w:proofErr w:type="spellEnd"/>
            <w:r w:rsidR="003303D7">
              <w:t xml:space="preserve"> Matakite </w:t>
            </w:r>
            <w:r>
              <w:t xml:space="preserve">on </w:t>
            </w:r>
            <w:r w:rsidR="003303D7">
              <w:t>Māori Land</w:t>
            </w:r>
          </w:p>
          <w:p w14:paraId="73ED6A38" w14:textId="0AC6D1BC" w:rsidR="006351D6" w:rsidRDefault="006351D6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read</w:t>
            </w:r>
            <w:r w:rsidR="003303D7">
              <w:t xml:space="preserve"> the primary source ‘Why we March’ by Te </w:t>
            </w:r>
            <w:r w:rsidR="003303D7" w:rsidRPr="6EBC2213">
              <w:rPr>
                <w:lang w:val="mi-NZ"/>
              </w:rPr>
              <w:t>R</w:t>
            </w:r>
            <w:r w:rsidR="4788164E" w:rsidRPr="6EBC2213">
              <w:rPr>
                <w:lang w:val="mi-NZ"/>
              </w:rPr>
              <w:t>ōpū</w:t>
            </w:r>
            <w:r w:rsidR="003303D7" w:rsidRPr="6EBC2213">
              <w:rPr>
                <w:lang w:val="mi-NZ"/>
              </w:rPr>
              <w:t xml:space="preserve"> </w:t>
            </w:r>
            <w:r w:rsidR="003303D7">
              <w:t xml:space="preserve">Matakite </w:t>
            </w:r>
            <w:r>
              <w:t>and use this to inform</w:t>
            </w:r>
            <w:r w:rsidR="003303D7">
              <w:t xml:space="preserve"> their understanding of the Land March and </w:t>
            </w:r>
            <w:r>
              <w:t>people’s</w:t>
            </w:r>
            <w:r w:rsidR="003303D7">
              <w:t xml:space="preserve"> reasons for marching</w:t>
            </w:r>
          </w:p>
          <w:p w14:paraId="34FFD44F" w14:textId="449A0F09" w:rsidR="006351D6" w:rsidRDefault="006351D6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look </w:t>
            </w:r>
            <w:r w:rsidR="003303D7">
              <w:t>at key historians' perspectives o</w:t>
            </w:r>
            <w:r>
              <w:t>n</w:t>
            </w:r>
            <w:r w:rsidR="003303D7">
              <w:t xml:space="preserve"> the Māori Land March</w:t>
            </w:r>
            <w:r w:rsidR="00760546">
              <w:t xml:space="preserve"> as a class</w:t>
            </w:r>
            <w:r>
              <w:t>. Following</w:t>
            </w:r>
            <w:r w:rsidR="003303D7">
              <w:t xml:space="preserve"> this overview, readings will be distributed to </w:t>
            </w:r>
            <w:r>
              <w:t>students</w:t>
            </w:r>
            <w:r w:rsidR="003303D7">
              <w:t xml:space="preserve"> to </w:t>
            </w:r>
            <w:r w:rsidR="50C81338">
              <w:t>interpret,</w:t>
            </w:r>
            <w:r w:rsidR="003303D7">
              <w:t xml:space="preserve"> and report back on</w:t>
            </w:r>
            <w:r>
              <w:t xml:space="preserve"> to the class, either individually or in groups</w:t>
            </w:r>
          </w:p>
          <w:p w14:paraId="0000005A" w14:textId="6F7E5586" w:rsidR="008B2E81" w:rsidRDefault="003303D7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 w:line="276" w:lineRule="auto"/>
            </w:pPr>
            <w:r>
              <w:t>choose a</w:t>
            </w:r>
            <w:r w:rsidR="00A82148">
              <w:t xml:space="preserve"> historical</w:t>
            </w:r>
            <w:r>
              <w:t xml:space="preserve"> concept </w:t>
            </w:r>
            <w:r w:rsidR="00A82148">
              <w:t>(</w:t>
            </w:r>
            <w:r>
              <w:t xml:space="preserve">whakapapa, mana, cause, effect, </w:t>
            </w:r>
            <w:r w:rsidRPr="6EBC2213">
              <w:rPr>
                <w:lang w:val="mi-NZ"/>
              </w:rPr>
              <w:t>tūrangawaewae</w:t>
            </w:r>
            <w:r w:rsidR="00A82148">
              <w:t>,</w:t>
            </w:r>
            <w:r>
              <w:t xml:space="preserve"> or whanaungatanga</w:t>
            </w:r>
            <w:r w:rsidR="00A82148">
              <w:t>)</w:t>
            </w:r>
            <w:r>
              <w:t xml:space="preserve"> and </w:t>
            </w:r>
            <w:r w:rsidR="00A82148">
              <w:t xml:space="preserve">use this to </w:t>
            </w:r>
            <w:r>
              <w:t xml:space="preserve">create a narrative </w:t>
            </w:r>
            <w:r w:rsidR="00A82148">
              <w:t>about</w:t>
            </w:r>
            <w:r>
              <w:t xml:space="preserve"> </w:t>
            </w:r>
            <w:r w:rsidR="00A82148">
              <w:t xml:space="preserve">the Land </w:t>
            </w:r>
            <w:r>
              <w:t>March</w:t>
            </w:r>
          </w:p>
          <w:p w14:paraId="0000005B" w14:textId="6528858B" w:rsidR="008B2E81" w:rsidRDefault="00760546" w:rsidP="00592214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 w:line="276" w:lineRule="auto"/>
            </w:pPr>
            <w:r>
              <w:t>e</w:t>
            </w:r>
            <w:r w:rsidR="3BC7FAA5">
              <w:t>ngage with historical sources</w:t>
            </w:r>
            <w:r w:rsidR="002C4C71">
              <w:t>,</w:t>
            </w:r>
            <w:r w:rsidR="003303D7">
              <w:t xml:space="preserve"> such as newspaper articles, videos, and images</w:t>
            </w:r>
            <w:r w:rsidR="002C4C71">
              <w:t>,</w:t>
            </w:r>
            <w:r w:rsidR="003303D7">
              <w:t xml:space="preserve"> to learn about more groups who supported Te </w:t>
            </w:r>
            <w:r w:rsidR="003303D7" w:rsidRPr="6EBC2213">
              <w:rPr>
                <w:lang w:val="mi-NZ"/>
              </w:rPr>
              <w:t xml:space="preserve">Rōpū </w:t>
            </w:r>
            <w:r w:rsidR="003303D7">
              <w:t xml:space="preserve">o </w:t>
            </w:r>
            <w:proofErr w:type="spellStart"/>
            <w:r w:rsidR="73079EA0">
              <w:t>t</w:t>
            </w:r>
            <w:r w:rsidR="003303D7">
              <w:t>e</w:t>
            </w:r>
            <w:proofErr w:type="spellEnd"/>
            <w:r w:rsidR="003303D7">
              <w:t xml:space="preserve"> Matakite</w:t>
            </w:r>
            <w:r w:rsidR="002C4C71">
              <w:t xml:space="preserve"> (</w:t>
            </w:r>
            <w:proofErr w:type="gramStart"/>
            <w:r w:rsidR="002C4C71">
              <w:t>e.g.</w:t>
            </w:r>
            <w:proofErr w:type="gramEnd"/>
            <w:r w:rsidR="002C4C71">
              <w:t xml:space="preserve"> </w:t>
            </w:r>
            <w:r w:rsidR="003303D7">
              <w:t>Polynesian Panthers</w:t>
            </w:r>
            <w:r w:rsidR="002C4C71">
              <w:t>)</w:t>
            </w:r>
            <w:r w:rsidR="003303D7">
              <w:t xml:space="preserve">. This will build </w:t>
            </w:r>
            <w:r w:rsidR="002C4C71">
              <w:t>students’</w:t>
            </w:r>
            <w:r w:rsidR="003303D7">
              <w:t xml:space="preserve"> understanding of the role of </w:t>
            </w:r>
            <w:proofErr w:type="spellStart"/>
            <w:r w:rsidR="003303D7">
              <w:t>vā</w:t>
            </w:r>
            <w:proofErr w:type="spellEnd"/>
            <w:r w:rsidR="003303D7">
              <w:t xml:space="preserve"> in shaping identities.</w:t>
            </w:r>
          </w:p>
          <w:p w14:paraId="5E4F4743" w14:textId="731D6ED9" w:rsidR="33AA99C7" w:rsidRDefault="33AA99C7" w:rsidP="008E73C0">
            <w:pPr>
              <w:tabs>
                <w:tab w:val="left" w:pos="3700"/>
              </w:tabs>
              <w:spacing w:before="40" w:after="0" w:line="276" w:lineRule="auto"/>
              <w:rPr>
                <w:b/>
                <w:bCs/>
              </w:rPr>
            </w:pPr>
            <w:r w:rsidRPr="2B5EFC0E">
              <w:rPr>
                <w:b/>
                <w:bCs/>
              </w:rPr>
              <w:t>Significanc</w:t>
            </w:r>
            <w:r w:rsidR="0944155A" w:rsidRPr="2B5EFC0E">
              <w:rPr>
                <w:b/>
                <w:bCs/>
              </w:rPr>
              <w:t>e</w:t>
            </w:r>
          </w:p>
          <w:p w14:paraId="0519A3AC" w14:textId="19A39C66" w:rsidR="0944155A" w:rsidRDefault="0944155A" w:rsidP="008E73C0">
            <w:pPr>
              <w:tabs>
                <w:tab w:val="left" w:pos="3700"/>
              </w:tabs>
              <w:spacing w:after="40" w:line="276" w:lineRule="auto"/>
            </w:pPr>
            <w:r>
              <w:t>Students will</w:t>
            </w:r>
          </w:p>
          <w:p w14:paraId="2CB379EF" w14:textId="2E4021A7" w:rsidR="33AA99C7" w:rsidRDefault="33AA99C7" w:rsidP="00592214">
            <w:pPr>
              <w:pStyle w:val="ListParagraph"/>
              <w:numPr>
                <w:ilvl w:val="0"/>
                <w:numId w:val="1"/>
              </w:numPr>
              <w:tabs>
                <w:tab w:val="left" w:pos="3700"/>
              </w:tabs>
              <w:spacing w:before="40" w:after="40" w:line="276" w:lineRule="auto"/>
            </w:pPr>
            <w:r>
              <w:t xml:space="preserve">look through a range of photographs of the Land March and interpret these images. Students might then use these sources to build their understanding of the significance of the </w:t>
            </w:r>
            <w:r w:rsidR="5AA7D11E" w:rsidRPr="6EBC2213">
              <w:rPr>
                <w:lang w:val="mi-NZ"/>
              </w:rPr>
              <w:t>h</w:t>
            </w:r>
            <w:r w:rsidR="002355E2" w:rsidRPr="6EBC2213">
              <w:rPr>
                <w:lang w:val="mi-NZ"/>
              </w:rPr>
              <w:t>ī</w:t>
            </w:r>
            <w:r w:rsidR="5AA7D11E" w:rsidRPr="6EBC2213">
              <w:rPr>
                <w:lang w:val="mi-NZ"/>
              </w:rPr>
              <w:t>koi</w:t>
            </w:r>
            <w:r>
              <w:t xml:space="preserve"> to those involved.</w:t>
            </w:r>
          </w:p>
          <w:p w14:paraId="770945F1" w14:textId="1295BE02" w:rsidR="4D9DCDD1" w:rsidRDefault="185A9252" w:rsidP="008E73C0">
            <w:pPr>
              <w:pStyle w:val="ListParagraph"/>
              <w:numPr>
                <w:ilvl w:val="0"/>
                <w:numId w:val="1"/>
              </w:numPr>
              <w:tabs>
                <w:tab w:val="left" w:pos="3700"/>
              </w:tabs>
              <w:spacing w:before="40" w:after="40" w:line="276" w:lineRule="auto"/>
            </w:pPr>
            <w:r>
              <w:t xml:space="preserve">interpret </w:t>
            </w:r>
            <w:r w:rsidR="00FA4DF9">
              <w:t xml:space="preserve">an oral, visual, or written text about the </w:t>
            </w:r>
            <w:proofErr w:type="spellStart"/>
            <w:r w:rsidR="00FA4DF9">
              <w:t>hīkoi</w:t>
            </w:r>
            <w:proofErr w:type="spellEnd"/>
            <w:r>
              <w:t xml:space="preserve"> and identify examples of whanaungatanga and mana in </w:t>
            </w:r>
            <w:r w:rsidR="002102EE">
              <w:t>this.</w:t>
            </w:r>
            <w:r>
              <w:t xml:space="preserve"> Students </w:t>
            </w:r>
            <w:r w:rsidR="002102EE">
              <w:t>may also begin</w:t>
            </w:r>
            <w:r>
              <w:t xml:space="preserve"> to think about the significance of the Land March through these lenses</w:t>
            </w:r>
            <w:r w:rsidR="008E73C0">
              <w:t>.</w:t>
            </w:r>
          </w:p>
          <w:p w14:paraId="0752A769" w14:textId="77777777" w:rsidR="002102EE" w:rsidRDefault="006351D6" w:rsidP="002102E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use a range of historical significance lenses to engage with the Land March. They may choose to consider</w:t>
            </w:r>
            <w:r w:rsidR="003303D7">
              <w:t>:</w:t>
            </w:r>
          </w:p>
          <w:p w14:paraId="5DDC5D13" w14:textId="53115B7A" w:rsidR="00640E85" w:rsidRDefault="00640E85" w:rsidP="00640E8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t</w:t>
            </w:r>
            <w:r w:rsidR="006351D6">
              <w:t xml:space="preserve">o whom the Land March </w:t>
            </w:r>
            <w:r>
              <w:t>is</w:t>
            </w:r>
            <w:r w:rsidR="006351D6">
              <w:t xml:space="preserve"> significant</w:t>
            </w:r>
            <w:r>
              <w:t>,</w:t>
            </w:r>
            <w:r w:rsidR="006351D6">
              <w:t xml:space="preserve"> and why it is significant to them</w:t>
            </w:r>
          </w:p>
          <w:p w14:paraId="6559FE40" w14:textId="77777777" w:rsidR="00640E85" w:rsidRDefault="00640E85" w:rsidP="00640E8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h</w:t>
            </w:r>
            <w:r w:rsidR="006351D6">
              <w:t>ow perceptions of this event have changed and/or remained the same over time</w:t>
            </w:r>
            <w:r>
              <w:t>; and/or</w:t>
            </w:r>
          </w:p>
          <w:p w14:paraId="2958D5CB" w14:textId="7EFAD95D" w:rsidR="006351D6" w:rsidRDefault="00640E85" w:rsidP="00640E85">
            <w:pPr>
              <w:pStyle w:val="ListParagraph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ho</w:t>
            </w:r>
            <w:r w:rsidR="006351D6">
              <w:t xml:space="preserve">w the lenses whakapapa, mana </w:t>
            </w:r>
            <w:r w:rsidR="006351D6" w:rsidRPr="6EBC2213">
              <w:rPr>
                <w:lang w:val="mi-NZ"/>
              </w:rPr>
              <w:t>wāhine</w:t>
            </w:r>
            <w:r w:rsidR="006351D6">
              <w:t xml:space="preserve">, </w:t>
            </w:r>
            <w:r w:rsidR="006351D6" w:rsidRPr="6EBC2213">
              <w:rPr>
                <w:lang w:val="mi-NZ"/>
              </w:rPr>
              <w:t>tūrangawaewae</w:t>
            </w:r>
            <w:r w:rsidR="006351D6">
              <w:t xml:space="preserve">, </w:t>
            </w:r>
            <w:proofErr w:type="spellStart"/>
            <w:r w:rsidR="006351D6">
              <w:t>vā</w:t>
            </w:r>
            <w:proofErr w:type="spellEnd"/>
            <w:r w:rsidR="006351D6">
              <w:t xml:space="preserve"> could help </w:t>
            </w:r>
            <w:r>
              <w:t>us</w:t>
            </w:r>
            <w:r w:rsidR="006351D6">
              <w:t xml:space="preserve"> to understand the significance of the Land March, especially</w:t>
            </w:r>
            <w:r>
              <w:t xml:space="preserve"> its significance</w:t>
            </w:r>
            <w:r w:rsidR="006351D6">
              <w:t xml:space="preserve"> to </w:t>
            </w:r>
            <w:r w:rsidR="006351D6" w:rsidRPr="6EBC2213">
              <w:rPr>
                <w:lang w:val="mi-NZ"/>
              </w:rPr>
              <w:t>tangata</w:t>
            </w:r>
            <w:r w:rsidR="006351D6">
              <w:t xml:space="preserve"> whenua.</w:t>
            </w:r>
          </w:p>
          <w:p w14:paraId="00000061" w14:textId="559C07EF" w:rsidR="008B2E81" w:rsidRPr="006351D6" w:rsidRDefault="003303D7" w:rsidP="00592214">
            <w:pPr>
              <w:tabs>
                <w:tab w:val="left" w:pos="3700"/>
              </w:tabs>
              <w:spacing w:before="40" w:after="120"/>
              <w:rPr>
                <w:color w:val="231F20"/>
              </w:rPr>
            </w:pPr>
            <w:r w:rsidRPr="6EBC2213">
              <w:rPr>
                <w:b/>
                <w:bCs/>
                <w:color w:val="FF0000"/>
              </w:rPr>
              <w:t>The learning activities for this topic help students to prepare for Achievement Standard 1.</w:t>
            </w:r>
            <w:r w:rsidR="006351D6" w:rsidRPr="6EBC2213">
              <w:rPr>
                <w:b/>
                <w:bCs/>
                <w:color w:val="FF0000"/>
              </w:rPr>
              <w:t>2</w:t>
            </w:r>
            <w:r w:rsidRPr="6EBC2213">
              <w:rPr>
                <w:b/>
                <w:bCs/>
                <w:color w:val="FF0000"/>
              </w:rPr>
              <w:t xml:space="preserve"> (Internal)</w:t>
            </w:r>
            <w:r w:rsidR="006351D6" w:rsidRPr="6EBC2213">
              <w:rPr>
                <w:b/>
                <w:bCs/>
                <w:color w:val="FF0000"/>
              </w:rPr>
              <w:t>,</w:t>
            </w:r>
            <w:r w:rsidRPr="6EBC2213">
              <w:rPr>
                <w:b/>
                <w:bCs/>
                <w:color w:val="FF0000"/>
              </w:rPr>
              <w:t xml:space="preserve"> </w:t>
            </w:r>
            <w:r w:rsidRPr="6EBC2213">
              <w:rPr>
                <w:b/>
                <w:bCs/>
                <w:i/>
                <w:iCs/>
                <w:color w:val="FF0000"/>
              </w:rPr>
              <w:t>Demonstrate understanding of the significance of a historical context.</w:t>
            </w:r>
            <w:r w:rsidR="006351D6" w:rsidRPr="6EBC2213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6EBC2213">
              <w:rPr>
                <w:b/>
                <w:bCs/>
                <w:color w:val="FF0000"/>
              </w:rPr>
              <w:t>The study of the concept</w:t>
            </w:r>
            <w:r w:rsidR="006351D6" w:rsidRPr="6EBC2213">
              <w:rPr>
                <w:b/>
                <w:bCs/>
                <w:color w:val="FF0000"/>
              </w:rPr>
              <w:t>s</w:t>
            </w:r>
            <w:r w:rsidRPr="6EBC2213">
              <w:rPr>
                <w:b/>
                <w:bCs/>
                <w:color w:val="FF0000"/>
              </w:rPr>
              <w:t xml:space="preserve"> </w:t>
            </w:r>
            <w:r w:rsidRPr="6EBC2213">
              <w:rPr>
                <w:b/>
                <w:bCs/>
                <w:i/>
                <w:iCs/>
                <w:color w:val="FF0000"/>
              </w:rPr>
              <w:t xml:space="preserve">whakapapa, whanaungatanga, cause, </w:t>
            </w:r>
            <w:r w:rsidRPr="6EBC2213">
              <w:rPr>
                <w:b/>
                <w:bCs/>
                <w:i/>
                <w:iCs/>
                <w:color w:val="FF0000"/>
                <w:lang w:val="mi-NZ"/>
              </w:rPr>
              <w:t>tūrangawaewae</w:t>
            </w:r>
            <w:r w:rsidRPr="6EBC2213">
              <w:rPr>
                <w:b/>
                <w:bCs/>
                <w:i/>
                <w:iCs/>
                <w:color w:val="FF0000"/>
              </w:rPr>
              <w:t>, mana</w:t>
            </w:r>
            <w:r w:rsidR="006351D6" w:rsidRPr="6EBC2213">
              <w:rPr>
                <w:b/>
                <w:bCs/>
                <w:i/>
                <w:iCs/>
                <w:color w:val="FF0000"/>
              </w:rPr>
              <w:t>,</w:t>
            </w:r>
            <w:r w:rsidRPr="6EBC2213">
              <w:rPr>
                <w:b/>
                <w:bCs/>
                <w:i/>
                <w:iCs/>
                <w:color w:val="FF0000"/>
              </w:rPr>
              <w:t xml:space="preserve"> and effect</w:t>
            </w:r>
            <w:r w:rsidR="006351D6" w:rsidRPr="6EBC2213">
              <w:rPr>
                <w:b/>
                <w:bCs/>
                <w:color w:val="FF0000"/>
              </w:rPr>
              <w:t xml:space="preserve"> may also help students to prepare for Achievement Standard 1.3 (External), </w:t>
            </w:r>
            <w:r w:rsidR="006351D6" w:rsidRPr="6EBC2213">
              <w:rPr>
                <w:b/>
                <w:bCs/>
                <w:i/>
                <w:iCs/>
                <w:color w:val="FF0000"/>
              </w:rPr>
              <w:t>Demonstrate understanding of historical concepts in historical context.</w:t>
            </w:r>
          </w:p>
        </w:tc>
        <w:tc>
          <w:tcPr>
            <w:tcW w:w="1706" w:type="dxa"/>
          </w:tcPr>
          <w:p w14:paraId="00000062" w14:textId="05C8EB8D" w:rsidR="008B2E81" w:rsidRDefault="00C3725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9</w:t>
            </w:r>
            <w:r w:rsidR="003303D7">
              <w:rPr>
                <w:color w:val="231F20"/>
              </w:rPr>
              <w:t xml:space="preserve"> weeks</w:t>
            </w:r>
          </w:p>
        </w:tc>
      </w:tr>
      <w:tr w:rsidR="001542E2" w14:paraId="4E774803" w14:textId="77777777" w:rsidTr="6EBC2213">
        <w:trPr>
          <w:trHeight w:val="630"/>
        </w:trPr>
        <w:tc>
          <w:tcPr>
            <w:tcW w:w="5097" w:type="dxa"/>
          </w:tcPr>
          <w:p w14:paraId="00000063" w14:textId="77777777" w:rsidR="008B2E81" w:rsidRDefault="008B2E81" w:rsidP="00592214">
            <w:pPr>
              <w:spacing w:before="40" w:after="40"/>
              <w:rPr>
                <w:color w:val="231F20"/>
              </w:rPr>
            </w:pPr>
          </w:p>
        </w:tc>
        <w:tc>
          <w:tcPr>
            <w:tcW w:w="15880" w:type="dxa"/>
            <w:shd w:val="clear" w:color="auto" w:fill="auto"/>
          </w:tcPr>
          <w:p w14:paraId="00000064" w14:textId="442AA1FB" w:rsidR="008B2E81" w:rsidRPr="004662C3" w:rsidRDefault="008E73C0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 w:line="276" w:lineRule="auto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FF0000"/>
              </w:rPr>
              <w:t>In-class p</w:t>
            </w:r>
            <w:r w:rsidR="004662C3" w:rsidRPr="004662C3">
              <w:rPr>
                <w:b/>
                <w:bCs/>
                <w:color w:val="FF0000"/>
              </w:rPr>
              <w:t xml:space="preserve">reparation </w:t>
            </w:r>
            <w:r w:rsidR="003303D7" w:rsidRPr="004662C3">
              <w:rPr>
                <w:b/>
                <w:bCs/>
                <w:color w:val="FF0000"/>
              </w:rPr>
              <w:t>for the summative assessment Achievement Standard 1.3 (External)</w:t>
            </w:r>
            <w:r w:rsidR="004662C3">
              <w:rPr>
                <w:b/>
                <w:bCs/>
                <w:color w:val="FF0000"/>
              </w:rPr>
              <w:t>,</w:t>
            </w:r>
            <w:r w:rsidR="003303D7" w:rsidRPr="004662C3">
              <w:rPr>
                <w:b/>
                <w:bCs/>
                <w:color w:val="FF0000"/>
              </w:rPr>
              <w:t xml:space="preserve"> </w:t>
            </w:r>
            <w:r w:rsidR="003303D7" w:rsidRPr="004662C3">
              <w:rPr>
                <w:b/>
                <w:bCs/>
                <w:i/>
                <w:color w:val="FF0000"/>
              </w:rPr>
              <w:t>Demonstrate understanding of historical concepts in historical context.</w:t>
            </w:r>
          </w:p>
        </w:tc>
        <w:tc>
          <w:tcPr>
            <w:tcW w:w="1706" w:type="dxa"/>
          </w:tcPr>
          <w:p w14:paraId="00000065" w14:textId="5E53A523" w:rsidR="008B2E81" w:rsidRDefault="00C3725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</w:tbl>
    <w:p w14:paraId="00000066" w14:textId="77777777" w:rsidR="008B2E81" w:rsidRDefault="008B2E81">
      <w:pPr>
        <w:spacing w:after="240" w:line="276" w:lineRule="auto"/>
      </w:pPr>
    </w:p>
    <w:sectPr w:rsidR="008B2E81">
      <w:headerReference w:type="default" r:id="rId11"/>
      <w:footerReference w:type="default" r:id="rId12"/>
      <w:pgSz w:w="23811" w:h="16838" w:orient="landscape"/>
      <w:pgMar w:top="720" w:right="720" w:bottom="720" w:left="72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439E1" w14:textId="77777777" w:rsidR="00DD6141" w:rsidRDefault="00DD6141">
      <w:pPr>
        <w:spacing w:after="0" w:line="240" w:lineRule="auto"/>
      </w:pPr>
      <w:r>
        <w:separator/>
      </w:r>
    </w:p>
  </w:endnote>
  <w:endnote w:type="continuationSeparator" w:id="0">
    <w:p w14:paraId="083BAFD3" w14:textId="77777777" w:rsidR="00DD6141" w:rsidRDefault="00DD6141">
      <w:pPr>
        <w:spacing w:after="0" w:line="240" w:lineRule="auto"/>
      </w:pPr>
      <w:r>
        <w:continuationSeparator/>
      </w:r>
    </w:p>
  </w:endnote>
  <w:endnote w:type="continuationNotice" w:id="1">
    <w:p w14:paraId="28A2FAED" w14:textId="77777777" w:rsidR="00DD6141" w:rsidRDefault="00DD6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9" w14:textId="77777777" w:rsidR="008B2E81" w:rsidRDefault="008B2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27512" w14:textId="77777777" w:rsidR="00DD6141" w:rsidRDefault="00DD6141">
      <w:pPr>
        <w:spacing w:after="0" w:line="240" w:lineRule="auto"/>
      </w:pPr>
      <w:r>
        <w:separator/>
      </w:r>
    </w:p>
  </w:footnote>
  <w:footnote w:type="continuationSeparator" w:id="0">
    <w:p w14:paraId="75A14074" w14:textId="77777777" w:rsidR="00DD6141" w:rsidRDefault="00DD6141">
      <w:pPr>
        <w:spacing w:after="0" w:line="240" w:lineRule="auto"/>
      </w:pPr>
      <w:r>
        <w:continuationSeparator/>
      </w:r>
    </w:p>
  </w:footnote>
  <w:footnote w:type="continuationNotice" w:id="1">
    <w:p w14:paraId="1C23E2D4" w14:textId="77777777" w:rsidR="00DD6141" w:rsidRDefault="00DD6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7" w14:textId="77777777" w:rsidR="008B2E81" w:rsidRDefault="008B2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68" w14:textId="77777777" w:rsidR="008B2E81" w:rsidRDefault="008B2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1RMsiW+9yA5zU" id="ikijkh4s"/>
    <int:WordHash hashCode="MpqnFO4K6lfpZ9" id="n9kU2opS"/>
    <int:WordHash hashCode="EgAUxFHSwRmeon" id="RPdlUY60"/>
    <int:WordHash hashCode="NkPdJ9i9g1wpGP" id="Gn/vBwS4"/>
    <int:WordHash hashCode="/QG/YsI7g72KjU" id="3N1wkbFV"/>
    <int:WordHash hashCode="YcKYAGEOPZhLHU" id="ut/d4Fyb"/>
    <int:WordHash hashCode="M+lQXRKULoJZo8" id="RWE6BS9M"/>
    <int:WordHash hashCode="y3n+yvUhSi0hXe" id="s8R8OiYg"/>
    <int:WordHash hashCode="915ogpENxuy6W8" id="cAzC7bVa"/>
    <int:WordHash hashCode="bvA1AajaJcZOLV" id="sj+lLos+"/>
    <int:WordHash hashCode="4RBIRcpVY0KEdg" id="iYn/Cbp8"/>
    <int:WordHash hashCode="bnGtTfIBb/TSNa" id="kB1TjO0o"/>
    <int:WordHash hashCode="tTOueBBGITIQYA" id="H2ZqPArw"/>
    <int:WordHash hashCode="ERcELrfr2i+olz" id="uzFtXQsj"/>
    <int:WordHash hashCode="jtujtqVkMdk2Qr" id="if4uO8Qu"/>
    <int:WordHash hashCode="fF0AQI7WY8Ac1R" id="rcVJTlz1"/>
    <int:WordHash hashCode="3nKPd6N26FU+pG" id="j24Qh7lz"/>
    <int:WordHash hashCode="rEOWVn8pF9F1q4" id="zucgahLE"/>
    <int:WordHash hashCode="gKDzTSXakQ3O+2" id="73J4Oecr"/>
    <int:WordHash hashCode="QLd5ESdkfHWLpA" id="HFLn58Wi"/>
    <int:WordHash hashCode="wBAiXyNcakaqh5" id="gA4mop8v"/>
    <int:WordHash hashCode="fIv+Ksdl4yqpIH" id="ywA0gu1L"/>
    <int:WordHash hashCode="ld2f76gyNeee/B" id="XzuuswJG"/>
    <int:WordHash hashCode="x6LtGxyyfeMP3Q" id="Lfn4BcWz"/>
    <int:WordHash hashCode="2hN4CpAQqDK1Xx" id="ONAlOQIa"/>
    <int:WordHash hashCode="oJJvFPnP7kRKsS" id="dlwpJnxg"/>
    <int:WordHash hashCode="ghtt2S2BzC6YLD" id="dyGwq65x"/>
    <int:WordHash hashCode="veb/8Ltfg2AtzX" id="0Ay/alVE"/>
  </int:Manifest>
  <int:Observations>
    <int:Content id="ikijkh4s">
      <int:Rejection type="AugLoop_Text_Critique"/>
    </int:Content>
    <int:Content id="n9kU2opS">
      <int:Rejection type="AugLoop_Text_Critique"/>
    </int:Content>
    <int:Content id="RPdlUY60">
      <int:Rejection type="AugLoop_Text_Critique"/>
    </int:Content>
    <int:Content id="Gn/vBwS4">
      <int:Rejection type="AugLoop_Text_Critique"/>
    </int:Content>
    <int:Content id="3N1wkbFV">
      <int:Rejection type="LegacyProofing"/>
    </int:Content>
    <int:Content id="ut/d4Fyb">
      <int:Rejection type="LegacyProofing"/>
    </int:Content>
    <int:Content id="RWE6BS9M">
      <int:Rejection type="LegacyProofing"/>
    </int:Content>
    <int:Content id="s8R8OiYg">
      <int:Rejection type="LegacyProofing"/>
    </int:Content>
    <int:Content id="cAzC7bVa">
      <int:Rejection type="LegacyProofing"/>
    </int:Content>
    <int:Content id="sj+lLos+">
      <int:Rejection type="LegacyProofing"/>
    </int:Content>
    <int:Content id="iYn/Cbp8">
      <int:Rejection type="LegacyProofing"/>
    </int:Content>
    <int:Content id="kB1TjO0o">
      <int:Rejection type="LegacyProofing"/>
    </int:Content>
    <int:Content id="H2ZqPArw">
      <int:Rejection type="LegacyProofing"/>
    </int:Content>
    <int:Content id="uzFtXQsj">
      <int:Rejection type="LegacyProofing"/>
    </int:Content>
    <int:Content id="if4uO8Qu">
      <int:Rejection type="LegacyProofing"/>
    </int:Content>
    <int:Content id="rcVJTlz1">
      <int:Rejection type="LegacyProofing"/>
    </int:Content>
    <int:Content id="j24Qh7lz">
      <int:Rejection type="LegacyProofing"/>
    </int:Content>
    <int:Content id="zucgahLE">
      <int:Rejection type="LegacyProofing"/>
    </int:Content>
    <int:Content id="73J4Oecr">
      <int:Rejection type="LegacyProofing"/>
    </int:Content>
    <int:Content id="HFLn58Wi">
      <int:Rejection type="LegacyProofing"/>
    </int:Content>
    <int:Content id="gA4mop8v">
      <int:Rejection type="LegacyProofing"/>
    </int:Content>
    <int:Content id="ywA0gu1L">
      <int:Rejection type="LegacyProofing"/>
    </int:Content>
    <int:Content id="XzuuswJG">
      <int:Rejection type="LegacyProofing"/>
    </int:Content>
    <int:Content id="Lfn4BcWz">
      <int:Rejection type="LegacyProofing"/>
    </int:Content>
    <int:Content id="ONAlOQIa">
      <int:Rejection type="LegacyProofing"/>
    </int:Content>
    <int:Content id="dlwpJnxg">
      <int:Rejection type="LegacyProofing"/>
    </int:Content>
    <int:Content id="dyGwq65x">
      <int:Rejection type="LegacyProofing"/>
    </int:Content>
    <int:Content id="0Ay/al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472"/>
    <w:multiLevelType w:val="hybridMultilevel"/>
    <w:tmpl w:val="6584F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C1B"/>
    <w:multiLevelType w:val="hybridMultilevel"/>
    <w:tmpl w:val="F1C24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6D4"/>
    <w:multiLevelType w:val="hybridMultilevel"/>
    <w:tmpl w:val="FFFFFFFF"/>
    <w:lvl w:ilvl="0" w:tplc="2BF0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6F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86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6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0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00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9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E0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4E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42B"/>
    <w:multiLevelType w:val="hybridMultilevel"/>
    <w:tmpl w:val="FFFFFFFF"/>
    <w:lvl w:ilvl="0" w:tplc="714A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A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A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7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21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E6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A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33E"/>
    <w:multiLevelType w:val="hybridMultilevel"/>
    <w:tmpl w:val="FFFFFFFF"/>
    <w:lvl w:ilvl="0" w:tplc="8048E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7B64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0B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6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A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2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B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1990"/>
    <w:multiLevelType w:val="hybridMultilevel"/>
    <w:tmpl w:val="E28E0922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CAE232E"/>
    <w:multiLevelType w:val="hybridMultilevel"/>
    <w:tmpl w:val="A87C45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A1AA7"/>
    <w:multiLevelType w:val="hybridMultilevel"/>
    <w:tmpl w:val="72024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D01"/>
    <w:multiLevelType w:val="hybridMultilevel"/>
    <w:tmpl w:val="49E89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05DED"/>
    <w:multiLevelType w:val="hybridMultilevel"/>
    <w:tmpl w:val="CF78E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5BB8"/>
    <w:multiLevelType w:val="hybridMultilevel"/>
    <w:tmpl w:val="D86EB55A"/>
    <w:lvl w:ilvl="0" w:tplc="C05C2F32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 w:tplc="D8C214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496F1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B0CB5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3B6884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22F24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470F9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C4E00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28EDC0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7E578C"/>
    <w:multiLevelType w:val="hybridMultilevel"/>
    <w:tmpl w:val="37729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6184D"/>
    <w:multiLevelType w:val="hybridMultilevel"/>
    <w:tmpl w:val="FFFFFFFF"/>
    <w:lvl w:ilvl="0" w:tplc="0B9CA5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F460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EA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80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81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8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5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2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A2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435AD"/>
    <w:multiLevelType w:val="hybridMultilevel"/>
    <w:tmpl w:val="E926FFEC"/>
    <w:lvl w:ilvl="0" w:tplc="2BB2BD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EE0DD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92E1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C061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006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A1E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98162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58057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BB8E4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81"/>
    <w:rsid w:val="00016C93"/>
    <w:rsid w:val="000422E0"/>
    <w:rsid w:val="00042319"/>
    <w:rsid w:val="00092E6A"/>
    <w:rsid w:val="000B1699"/>
    <w:rsid w:val="000B432F"/>
    <w:rsid w:val="000C1749"/>
    <w:rsid w:val="000C3B5F"/>
    <w:rsid w:val="0011624C"/>
    <w:rsid w:val="001256A6"/>
    <w:rsid w:val="00130465"/>
    <w:rsid w:val="00134A5B"/>
    <w:rsid w:val="001542E2"/>
    <w:rsid w:val="001601A3"/>
    <w:rsid w:val="00171850"/>
    <w:rsid w:val="001E2C99"/>
    <w:rsid w:val="001F3C21"/>
    <w:rsid w:val="002102EE"/>
    <w:rsid w:val="00225426"/>
    <w:rsid w:val="00230F59"/>
    <w:rsid w:val="002355E2"/>
    <w:rsid w:val="00284056"/>
    <w:rsid w:val="002975A9"/>
    <w:rsid w:val="002B4474"/>
    <w:rsid w:val="002C4C71"/>
    <w:rsid w:val="002E24BE"/>
    <w:rsid w:val="002E37D2"/>
    <w:rsid w:val="002F613A"/>
    <w:rsid w:val="003053C9"/>
    <w:rsid w:val="003303D7"/>
    <w:rsid w:val="00347A1C"/>
    <w:rsid w:val="0035740B"/>
    <w:rsid w:val="00366286"/>
    <w:rsid w:val="003907EC"/>
    <w:rsid w:val="00395947"/>
    <w:rsid w:val="003C7A2F"/>
    <w:rsid w:val="003D6557"/>
    <w:rsid w:val="003F6BC0"/>
    <w:rsid w:val="00444FD3"/>
    <w:rsid w:val="00463BB8"/>
    <w:rsid w:val="004662C3"/>
    <w:rsid w:val="004936B7"/>
    <w:rsid w:val="004C0C43"/>
    <w:rsid w:val="004D53E2"/>
    <w:rsid w:val="004E4BE5"/>
    <w:rsid w:val="00522010"/>
    <w:rsid w:val="00533E9A"/>
    <w:rsid w:val="00543B1E"/>
    <w:rsid w:val="0055677C"/>
    <w:rsid w:val="00582DEB"/>
    <w:rsid w:val="00592214"/>
    <w:rsid w:val="005E1B1E"/>
    <w:rsid w:val="005E31EC"/>
    <w:rsid w:val="00614559"/>
    <w:rsid w:val="006351D6"/>
    <w:rsid w:val="00640E85"/>
    <w:rsid w:val="00652D1B"/>
    <w:rsid w:val="00652DA6"/>
    <w:rsid w:val="00654C52"/>
    <w:rsid w:val="00676804"/>
    <w:rsid w:val="006939FF"/>
    <w:rsid w:val="006C39AC"/>
    <w:rsid w:val="006C606D"/>
    <w:rsid w:val="006D5038"/>
    <w:rsid w:val="006F6194"/>
    <w:rsid w:val="00702AD7"/>
    <w:rsid w:val="007166CA"/>
    <w:rsid w:val="00760546"/>
    <w:rsid w:val="007B56C6"/>
    <w:rsid w:val="007D54DE"/>
    <w:rsid w:val="007D6225"/>
    <w:rsid w:val="007F308D"/>
    <w:rsid w:val="008008CC"/>
    <w:rsid w:val="008127D3"/>
    <w:rsid w:val="008358BB"/>
    <w:rsid w:val="00883C47"/>
    <w:rsid w:val="00893321"/>
    <w:rsid w:val="008B2E81"/>
    <w:rsid w:val="008E4465"/>
    <w:rsid w:val="008E73C0"/>
    <w:rsid w:val="008F1A55"/>
    <w:rsid w:val="008F391A"/>
    <w:rsid w:val="008F749E"/>
    <w:rsid w:val="00901533"/>
    <w:rsid w:val="00937570"/>
    <w:rsid w:val="00956320"/>
    <w:rsid w:val="00977EE4"/>
    <w:rsid w:val="009B6B03"/>
    <w:rsid w:val="009D301C"/>
    <w:rsid w:val="009E7226"/>
    <w:rsid w:val="009F7DC1"/>
    <w:rsid w:val="00A30EDD"/>
    <w:rsid w:val="00A47ECC"/>
    <w:rsid w:val="00A54A5E"/>
    <w:rsid w:val="00A82148"/>
    <w:rsid w:val="00A91DB9"/>
    <w:rsid w:val="00AC3516"/>
    <w:rsid w:val="00AC6100"/>
    <w:rsid w:val="00AE3C4B"/>
    <w:rsid w:val="00B1659E"/>
    <w:rsid w:val="00B35794"/>
    <w:rsid w:val="00B50075"/>
    <w:rsid w:val="00B713EF"/>
    <w:rsid w:val="00B73B72"/>
    <w:rsid w:val="00B86FAF"/>
    <w:rsid w:val="00C071E9"/>
    <w:rsid w:val="00C077BF"/>
    <w:rsid w:val="00C33747"/>
    <w:rsid w:val="00C37257"/>
    <w:rsid w:val="00C675AD"/>
    <w:rsid w:val="00CD33C4"/>
    <w:rsid w:val="00D44255"/>
    <w:rsid w:val="00D64672"/>
    <w:rsid w:val="00D83A12"/>
    <w:rsid w:val="00DA5264"/>
    <w:rsid w:val="00DA6259"/>
    <w:rsid w:val="00DA6DB2"/>
    <w:rsid w:val="00DB32A4"/>
    <w:rsid w:val="00DD430D"/>
    <w:rsid w:val="00DD6141"/>
    <w:rsid w:val="00E855A7"/>
    <w:rsid w:val="00EA1C51"/>
    <w:rsid w:val="00EA567F"/>
    <w:rsid w:val="00ED0038"/>
    <w:rsid w:val="00F14D0A"/>
    <w:rsid w:val="00F17AB3"/>
    <w:rsid w:val="00F36F01"/>
    <w:rsid w:val="00F50553"/>
    <w:rsid w:val="00F56269"/>
    <w:rsid w:val="00F672B0"/>
    <w:rsid w:val="00F96E19"/>
    <w:rsid w:val="00FA4DBC"/>
    <w:rsid w:val="00FA4DF9"/>
    <w:rsid w:val="00FCEC28"/>
    <w:rsid w:val="00FD41DC"/>
    <w:rsid w:val="013CC2B0"/>
    <w:rsid w:val="01A269E0"/>
    <w:rsid w:val="01B66090"/>
    <w:rsid w:val="03E39B96"/>
    <w:rsid w:val="0493801C"/>
    <w:rsid w:val="050E7F1D"/>
    <w:rsid w:val="057E5401"/>
    <w:rsid w:val="05C5355C"/>
    <w:rsid w:val="061066A4"/>
    <w:rsid w:val="066C097F"/>
    <w:rsid w:val="06777F6A"/>
    <w:rsid w:val="06AA933A"/>
    <w:rsid w:val="0892EFFC"/>
    <w:rsid w:val="0944155A"/>
    <w:rsid w:val="09795B06"/>
    <w:rsid w:val="0A82E018"/>
    <w:rsid w:val="0A94BEA6"/>
    <w:rsid w:val="0B09F391"/>
    <w:rsid w:val="0BFF1CD6"/>
    <w:rsid w:val="0CF7F58D"/>
    <w:rsid w:val="0D54E5E9"/>
    <w:rsid w:val="0D6E803F"/>
    <w:rsid w:val="0D86D101"/>
    <w:rsid w:val="0DCF5E5D"/>
    <w:rsid w:val="0F270218"/>
    <w:rsid w:val="0F2EBCCD"/>
    <w:rsid w:val="0F6CF526"/>
    <w:rsid w:val="0F8593B9"/>
    <w:rsid w:val="10CA0C24"/>
    <w:rsid w:val="11625BE4"/>
    <w:rsid w:val="11F5C9E4"/>
    <w:rsid w:val="127C7203"/>
    <w:rsid w:val="12AA06BE"/>
    <w:rsid w:val="12D3E4BB"/>
    <w:rsid w:val="134ABB64"/>
    <w:rsid w:val="13BA096F"/>
    <w:rsid w:val="13F2EB57"/>
    <w:rsid w:val="14195D14"/>
    <w:rsid w:val="14546E3F"/>
    <w:rsid w:val="15D154C7"/>
    <w:rsid w:val="164AD11C"/>
    <w:rsid w:val="1664C2C7"/>
    <w:rsid w:val="17434F99"/>
    <w:rsid w:val="17F0229A"/>
    <w:rsid w:val="180AE2C2"/>
    <w:rsid w:val="185A9252"/>
    <w:rsid w:val="18F5523A"/>
    <w:rsid w:val="191AF6AA"/>
    <w:rsid w:val="19813D85"/>
    <w:rsid w:val="19A28AA7"/>
    <w:rsid w:val="1A33DAEA"/>
    <w:rsid w:val="1AB07827"/>
    <w:rsid w:val="1B1F681D"/>
    <w:rsid w:val="1B3FFA08"/>
    <w:rsid w:val="1BDFDCB1"/>
    <w:rsid w:val="1CE19773"/>
    <w:rsid w:val="1D859CAD"/>
    <w:rsid w:val="1DB2A07B"/>
    <w:rsid w:val="1E22BE61"/>
    <w:rsid w:val="1E38F261"/>
    <w:rsid w:val="1E3B7135"/>
    <w:rsid w:val="1E54AEA8"/>
    <w:rsid w:val="1E7B3C3C"/>
    <w:rsid w:val="1E97C702"/>
    <w:rsid w:val="1F0D3308"/>
    <w:rsid w:val="1F3D58B3"/>
    <w:rsid w:val="1F445F8D"/>
    <w:rsid w:val="1FF07F09"/>
    <w:rsid w:val="2065D2E2"/>
    <w:rsid w:val="21105D08"/>
    <w:rsid w:val="21536C7D"/>
    <w:rsid w:val="216A1B9E"/>
    <w:rsid w:val="2188B88C"/>
    <w:rsid w:val="21BF6A1F"/>
    <w:rsid w:val="21E397F3"/>
    <w:rsid w:val="21EA741F"/>
    <w:rsid w:val="227C1399"/>
    <w:rsid w:val="22CE2A30"/>
    <w:rsid w:val="2357E53D"/>
    <w:rsid w:val="23675AA7"/>
    <w:rsid w:val="2396066C"/>
    <w:rsid w:val="23D82028"/>
    <w:rsid w:val="23DB1AE5"/>
    <w:rsid w:val="24051DAA"/>
    <w:rsid w:val="2493F91E"/>
    <w:rsid w:val="254FA9DB"/>
    <w:rsid w:val="25B3D1B4"/>
    <w:rsid w:val="25E0F314"/>
    <w:rsid w:val="26B65D5E"/>
    <w:rsid w:val="270A96E6"/>
    <w:rsid w:val="27A7C7B0"/>
    <w:rsid w:val="2817813B"/>
    <w:rsid w:val="28465239"/>
    <w:rsid w:val="29B42CB5"/>
    <w:rsid w:val="29B9AA90"/>
    <w:rsid w:val="29D95EB2"/>
    <w:rsid w:val="2A3AE19A"/>
    <w:rsid w:val="2ABB64C9"/>
    <w:rsid w:val="2B5EFC0E"/>
    <w:rsid w:val="2C548F06"/>
    <w:rsid w:val="2D286169"/>
    <w:rsid w:val="2D2F35C9"/>
    <w:rsid w:val="2DB4E995"/>
    <w:rsid w:val="2DF321EE"/>
    <w:rsid w:val="2E6ED975"/>
    <w:rsid w:val="2F653E59"/>
    <w:rsid w:val="30351DED"/>
    <w:rsid w:val="30442B87"/>
    <w:rsid w:val="30A03D5A"/>
    <w:rsid w:val="30A461A2"/>
    <w:rsid w:val="31BC9D19"/>
    <w:rsid w:val="31D91742"/>
    <w:rsid w:val="336E0907"/>
    <w:rsid w:val="33AA99C7"/>
    <w:rsid w:val="34EE4EBD"/>
    <w:rsid w:val="34F56762"/>
    <w:rsid w:val="35C9969D"/>
    <w:rsid w:val="35CE880A"/>
    <w:rsid w:val="367814CF"/>
    <w:rsid w:val="368B3714"/>
    <w:rsid w:val="369512D9"/>
    <w:rsid w:val="36CB8509"/>
    <w:rsid w:val="3762BC47"/>
    <w:rsid w:val="38239C93"/>
    <w:rsid w:val="38387D48"/>
    <w:rsid w:val="3884ABAC"/>
    <w:rsid w:val="39236ACE"/>
    <w:rsid w:val="39254576"/>
    <w:rsid w:val="3A35105D"/>
    <w:rsid w:val="3A71BAD4"/>
    <w:rsid w:val="3AF586FD"/>
    <w:rsid w:val="3AFD41B2"/>
    <w:rsid w:val="3BC54B86"/>
    <w:rsid w:val="3BC7FAA5"/>
    <w:rsid w:val="3C476841"/>
    <w:rsid w:val="3C75467A"/>
    <w:rsid w:val="3CF44A92"/>
    <w:rsid w:val="3D4AD274"/>
    <w:rsid w:val="3D799455"/>
    <w:rsid w:val="3DBFC071"/>
    <w:rsid w:val="3DEF540D"/>
    <w:rsid w:val="3E26BB48"/>
    <w:rsid w:val="3FA1BC1A"/>
    <w:rsid w:val="40B66124"/>
    <w:rsid w:val="413CA5AA"/>
    <w:rsid w:val="42BC396B"/>
    <w:rsid w:val="431DBC53"/>
    <w:rsid w:val="43263E54"/>
    <w:rsid w:val="443308F8"/>
    <w:rsid w:val="445C6519"/>
    <w:rsid w:val="44970C6E"/>
    <w:rsid w:val="44BC31A5"/>
    <w:rsid w:val="44C3BF3E"/>
    <w:rsid w:val="44FB3C8D"/>
    <w:rsid w:val="453B8E07"/>
    <w:rsid w:val="469010CC"/>
    <w:rsid w:val="46F8E549"/>
    <w:rsid w:val="4705EF81"/>
    <w:rsid w:val="476C92D0"/>
    <w:rsid w:val="4788164E"/>
    <w:rsid w:val="47D4D44E"/>
    <w:rsid w:val="48169DAB"/>
    <w:rsid w:val="482B0614"/>
    <w:rsid w:val="4879BA8E"/>
    <w:rsid w:val="48BDA6B9"/>
    <w:rsid w:val="492FD63C"/>
    <w:rsid w:val="49DFBA36"/>
    <w:rsid w:val="49EE0ACA"/>
    <w:rsid w:val="4A9AE546"/>
    <w:rsid w:val="4B62B0BA"/>
    <w:rsid w:val="4BF7FA16"/>
    <w:rsid w:val="4C4662D7"/>
    <w:rsid w:val="4CE4C4B4"/>
    <w:rsid w:val="4CEB4327"/>
    <w:rsid w:val="4D1889E8"/>
    <w:rsid w:val="4D38A083"/>
    <w:rsid w:val="4D9DCDD1"/>
    <w:rsid w:val="4EED5230"/>
    <w:rsid w:val="4F0F4F3E"/>
    <w:rsid w:val="4FB13689"/>
    <w:rsid w:val="50C81338"/>
    <w:rsid w:val="50DBFA58"/>
    <w:rsid w:val="527C2B6F"/>
    <w:rsid w:val="52B0E3A6"/>
    <w:rsid w:val="52E1D29F"/>
    <w:rsid w:val="5396418E"/>
    <w:rsid w:val="5473A0D9"/>
    <w:rsid w:val="555AA7CD"/>
    <w:rsid w:val="55ACA8F4"/>
    <w:rsid w:val="55CFBB49"/>
    <w:rsid w:val="5620FB45"/>
    <w:rsid w:val="56237A28"/>
    <w:rsid w:val="569B0F12"/>
    <w:rsid w:val="57B42912"/>
    <w:rsid w:val="58C4FB36"/>
    <w:rsid w:val="592258B0"/>
    <w:rsid w:val="5A4487E2"/>
    <w:rsid w:val="5A4C733A"/>
    <w:rsid w:val="5AA7D11E"/>
    <w:rsid w:val="5AE6F46B"/>
    <w:rsid w:val="5B454BF1"/>
    <w:rsid w:val="5B61F153"/>
    <w:rsid w:val="5BE5A5E4"/>
    <w:rsid w:val="5C1BB8A2"/>
    <w:rsid w:val="5C48B624"/>
    <w:rsid w:val="5D08EED5"/>
    <w:rsid w:val="5E479D04"/>
    <w:rsid w:val="5E944EA8"/>
    <w:rsid w:val="5FA05800"/>
    <w:rsid w:val="60629B7C"/>
    <w:rsid w:val="60666AD7"/>
    <w:rsid w:val="61132574"/>
    <w:rsid w:val="6201B800"/>
    <w:rsid w:val="624963F0"/>
    <w:rsid w:val="631C3D17"/>
    <w:rsid w:val="63613406"/>
    <w:rsid w:val="63CDA623"/>
    <w:rsid w:val="63E9B41B"/>
    <w:rsid w:val="64337C6F"/>
    <w:rsid w:val="6434788E"/>
    <w:rsid w:val="64AF9AB1"/>
    <w:rsid w:val="6551378B"/>
    <w:rsid w:val="6595B1A6"/>
    <w:rsid w:val="65B1DA2B"/>
    <w:rsid w:val="65E9E616"/>
    <w:rsid w:val="66BF0C1E"/>
    <w:rsid w:val="66CDA13F"/>
    <w:rsid w:val="67A0E5C7"/>
    <w:rsid w:val="67AF1298"/>
    <w:rsid w:val="67B02A8E"/>
    <w:rsid w:val="67F3F28D"/>
    <w:rsid w:val="6A392FEF"/>
    <w:rsid w:val="6A9B9831"/>
    <w:rsid w:val="6AE6B35A"/>
    <w:rsid w:val="6AEBA659"/>
    <w:rsid w:val="6B00779D"/>
    <w:rsid w:val="6B4CF670"/>
    <w:rsid w:val="6B9F1929"/>
    <w:rsid w:val="6C219DB4"/>
    <w:rsid w:val="6C57FDC2"/>
    <w:rsid w:val="6CAE7FEF"/>
    <w:rsid w:val="6D51CDCE"/>
    <w:rsid w:val="6E1045DC"/>
    <w:rsid w:val="6E1F6C12"/>
    <w:rsid w:val="6EBC2213"/>
    <w:rsid w:val="6ECEB920"/>
    <w:rsid w:val="6EDAA439"/>
    <w:rsid w:val="6F4A101D"/>
    <w:rsid w:val="6FBB3C73"/>
    <w:rsid w:val="7008B765"/>
    <w:rsid w:val="702758FA"/>
    <w:rsid w:val="70BADD68"/>
    <w:rsid w:val="71307F40"/>
    <w:rsid w:val="7195C637"/>
    <w:rsid w:val="71ADBFA4"/>
    <w:rsid w:val="71C94A53"/>
    <w:rsid w:val="72F2DD35"/>
    <w:rsid w:val="72F8BB14"/>
    <w:rsid w:val="73079EA0"/>
    <w:rsid w:val="743B3C29"/>
    <w:rsid w:val="74682002"/>
    <w:rsid w:val="7528C3BE"/>
    <w:rsid w:val="7548B9D9"/>
    <w:rsid w:val="7571511A"/>
    <w:rsid w:val="75A8C9D6"/>
    <w:rsid w:val="75D30C1A"/>
    <w:rsid w:val="75E83321"/>
    <w:rsid w:val="763A55DA"/>
    <w:rsid w:val="76E85795"/>
    <w:rsid w:val="780A9761"/>
    <w:rsid w:val="79B86CE2"/>
    <w:rsid w:val="79CFE617"/>
    <w:rsid w:val="7A2B099B"/>
    <w:rsid w:val="7B992FC3"/>
    <w:rsid w:val="7B9D94E8"/>
    <w:rsid w:val="7C9E7CF6"/>
    <w:rsid w:val="7CD82189"/>
    <w:rsid w:val="7D9436ED"/>
    <w:rsid w:val="7E0AD9CC"/>
    <w:rsid w:val="7E533457"/>
    <w:rsid w:val="7E73F1EA"/>
    <w:rsid w:val="7E760CB2"/>
    <w:rsid w:val="7EDE1E54"/>
    <w:rsid w:val="7F2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9888"/>
  <w15:docId w15:val="{BAFB59E5-E12C-462D-B0C5-1C4FCC9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37A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9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33E9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3E9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1be2d0a5e402429a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QighrGVcxBexIYQZsSIEyXflg==">AMUW2mX5ZvAgfVMmQRVU9XByodcs95Y3QwvpEIcan2OgT+vrH12TlkDG6wHN+pgtfOqs0LeU3g5Jf3mhoJVEzHkGULmfj9usaqbbO7XRYetwn5mNJojRfzYWU25iFKBXCWcF2KUQftpU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08F5E3-C87E-4F6A-A517-B9A30720B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5BC61-6F2B-4CD0-8972-F266E5FE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A3E44-D23D-459D-88DF-DAF934F33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1957</Words>
  <Characters>11157</Characters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2021-06-08T03:41:00Z</dcterms:created>
  <dcterms:modified xsi:type="dcterms:W3CDTF">2021-07-23T03:51:00Z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