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49D829E7" w:rsidR="00A37479" w:rsidRDefault="0036560E" w:rsidP="00876541">
      <w:pPr>
        <w:pStyle w:val="CoverHeading"/>
      </w:pPr>
      <w:r>
        <w:t>Feedback Report</w:t>
      </w:r>
      <w:r w:rsidR="009A40B7">
        <w:t xml:space="preserve"> </w:t>
      </w:r>
      <w:r w:rsidR="006471B7">
        <w:t>Agriculture and Horticulture</w:t>
      </w:r>
    </w:p>
    <w:p w14:paraId="72CDDCE2" w14:textId="5EFC0184" w:rsidR="00CF5151" w:rsidRPr="00DD4827" w:rsidRDefault="009A40B7" w:rsidP="00876541">
      <w:pPr>
        <w:pStyle w:val="CoverSubheading"/>
        <w:rPr>
          <w:b/>
        </w:rPr>
      </w:pPr>
      <w:r>
        <w:t xml:space="preserve">Feedback provided on draft Phase 1 </w:t>
      </w:r>
      <w:r w:rsidR="001B77F7">
        <w:t>subject content</w:t>
      </w:r>
      <w:r>
        <w:t xml:space="preserve"> </w:t>
      </w:r>
      <w:r w:rsidR="00A46AAA">
        <w:t>2</w:t>
      </w:r>
      <w:r w:rsidR="006C7589">
        <w:t>8</w:t>
      </w:r>
      <w:r w:rsidR="00841555">
        <w:t xml:space="preserve"> April 2021</w:t>
      </w:r>
    </w:p>
    <w:p w14:paraId="5E9FCE20" w14:textId="77777777" w:rsidR="00DD4827" w:rsidRDefault="00DD4827"/>
    <w:p w14:paraId="33B37D90" w14:textId="77777777" w:rsidR="00DD4827" w:rsidRDefault="00DD4827">
      <w:pPr>
        <w:sectPr w:rsidR="00DD4827" w:rsidSect="00DD4827">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473BC137" w14:textId="085D79D9" w:rsidR="00DD4827" w:rsidRDefault="0052683C" w:rsidP="00FC6F2E">
      <w:pPr>
        <w:pStyle w:val="ContentsHeading"/>
      </w:pPr>
      <w:r w:rsidRPr="0052683C">
        <w:lastRenderedPageBreak/>
        <w:t>Contents</w:t>
      </w:r>
    </w:p>
    <w:p w14:paraId="4154A272" w14:textId="2AE67910"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262450">
          <w:rPr>
            <w:noProof/>
            <w:webHidden/>
          </w:rPr>
          <w:t>1</w:t>
        </w:r>
        <w:r w:rsidR="007C0FC4">
          <w:rPr>
            <w:noProof/>
            <w:webHidden/>
          </w:rPr>
          <w:fldChar w:fldCharType="end"/>
        </w:r>
      </w:hyperlink>
    </w:p>
    <w:p w14:paraId="66E8B984" w14:textId="06C8E371" w:rsidR="007C0FC4" w:rsidRDefault="00262450">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01B80416" w:rsidR="007C0FC4" w:rsidRDefault="00262450">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2</w:t>
        </w:r>
        <w:r w:rsidR="007C0FC4">
          <w:rPr>
            <w:noProof/>
            <w:webHidden/>
          </w:rPr>
          <w:fldChar w:fldCharType="end"/>
        </w:r>
      </w:hyperlink>
    </w:p>
    <w:p w14:paraId="75EBB0DE" w14:textId="6D781E20" w:rsidR="007C0FC4" w:rsidRDefault="00262450">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3</w:t>
        </w:r>
        <w:r w:rsidR="007C0FC4">
          <w:rPr>
            <w:noProof/>
            <w:webHidden/>
          </w:rPr>
          <w:fldChar w:fldCharType="end"/>
        </w:r>
      </w:hyperlink>
    </w:p>
    <w:p w14:paraId="6DED2749" w14:textId="61411BD3" w:rsidR="007C0FC4" w:rsidRDefault="00262450">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4</w:t>
        </w:r>
        <w:r w:rsidR="007C0FC4">
          <w:rPr>
            <w:noProof/>
            <w:webHidden/>
          </w:rPr>
          <w:fldChar w:fldCharType="end"/>
        </w:r>
      </w:hyperlink>
    </w:p>
    <w:p w14:paraId="0A98CCE2" w14:textId="3FB2DF4F" w:rsidR="00195822" w:rsidRDefault="002B0BAF" w:rsidP="00FC6F2E">
      <w:pPr>
        <w:pStyle w:val="BodyText"/>
      </w:pPr>
      <w:r>
        <w:fldChar w:fldCharType="end"/>
      </w: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6A9E6141"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 xml:space="preserve">Phase 1 development of Level 1 </w:t>
      </w:r>
      <w:r w:rsidR="00547186">
        <w:rPr>
          <w:rFonts w:cs="Arial"/>
        </w:rPr>
        <w:t>subject content</w:t>
      </w:r>
      <w:r w:rsidR="00B74E34">
        <w:rPr>
          <w:rFonts w:cs="Arial"/>
        </w:rPr>
        <w:t xml:space="preserve"> for </w:t>
      </w:r>
      <w:r w:rsidR="006471B7">
        <w:rPr>
          <w:rFonts w:cs="Arial"/>
        </w:rPr>
        <w:t>Agriculture and Horticulture</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 xml:space="preserve">will be used to inform any necessary changes to the </w:t>
      </w:r>
      <w:r w:rsidR="001B77F7">
        <w:rPr>
          <w:rFonts w:cs="Arial"/>
        </w:rPr>
        <w:t>subject content</w:t>
      </w:r>
      <w:r w:rsidR="00B74E34">
        <w:rPr>
          <w:rFonts w:cs="Arial"/>
        </w:rPr>
        <w:t xml:space="preserve"> developed so far as well as the further development of Phase 2 </w:t>
      </w:r>
      <w:r w:rsidR="00547186">
        <w:rPr>
          <w:rFonts w:cs="Arial"/>
        </w:rPr>
        <w:t>content</w:t>
      </w:r>
      <w:r w:rsidR="00B74E34">
        <w:rPr>
          <w:rFonts w:cs="Arial"/>
        </w:rPr>
        <w:t xml:space="preserve"> by the</w:t>
      </w:r>
      <w:r w:rsidR="00F64AE8">
        <w:rPr>
          <w:rFonts w:cs="Arial"/>
        </w:rPr>
        <w:t xml:space="preserve"> Subject Expert Groups (SEGs) as part of the Review of Achievement Standards (RAS)</w:t>
      </w:r>
      <w:r>
        <w:rPr>
          <w:rFonts w:cs="Arial"/>
        </w:rPr>
        <w:t>.</w:t>
      </w:r>
    </w:p>
    <w:p w14:paraId="19023557" w14:textId="77777777" w:rsidR="00F745D2" w:rsidRDefault="00F745D2" w:rsidP="00C5402B">
      <w:pPr>
        <w:spacing w:before="40" w:after="200" w:line="276" w:lineRule="auto"/>
        <w:jc w:val="both"/>
        <w:rPr>
          <w:rFonts w:cs="Arial"/>
        </w:rPr>
      </w:pPr>
    </w:p>
    <w:p w14:paraId="260B76DC" w14:textId="77777777" w:rsidR="0036560E" w:rsidRPr="009C7216" w:rsidRDefault="0036560E" w:rsidP="0036560E">
      <w:pPr>
        <w:pStyle w:val="Heading2"/>
        <w:jc w:val="both"/>
      </w:pPr>
      <w:bookmarkStart w:id="3" w:name="_Toc68686655"/>
      <w:r w:rsidRPr="00165B2A">
        <w:t>Background</w:t>
      </w:r>
      <w:bookmarkEnd w:id="2"/>
      <w:bookmarkEnd w:id="3"/>
    </w:p>
    <w:p w14:paraId="20DBA2CD" w14:textId="35525255" w:rsidR="00C5402B" w:rsidRPr="00B74E34" w:rsidRDefault="002666AC" w:rsidP="00C5402B">
      <w:pPr>
        <w:numPr>
          <w:ilvl w:val="0"/>
          <w:numId w:val="4"/>
        </w:numPr>
        <w:spacing w:before="40" w:after="200" w:line="276" w:lineRule="auto"/>
        <w:ind w:left="567" w:hanging="567"/>
        <w:jc w:val="both"/>
        <w:rPr>
          <w:rFonts w:cs="Arial"/>
        </w:rPr>
      </w:pPr>
      <w:r>
        <w:t>T</w:t>
      </w:r>
      <w:r w:rsidR="00C5402B">
        <w:t xml:space="preserve">he Ministry received </w:t>
      </w:r>
      <w:r w:rsidR="006471B7">
        <w:t>21</w:t>
      </w:r>
      <w:r w:rsidR="00C5402B">
        <w:t xml:space="preserve"> responses to the Ministry’s online </w:t>
      </w:r>
      <w:r w:rsidR="00C55C0E">
        <w:t>survey</w:t>
      </w:r>
      <w:r w:rsidR="00C5402B">
        <w:t xml:space="preserve"> about the </w:t>
      </w:r>
      <w:r w:rsidR="00547186">
        <w:t>subject content</w:t>
      </w:r>
      <w:r w:rsidR="00B74E34">
        <w:t xml:space="preserve"> developed for </w:t>
      </w:r>
      <w:r w:rsidR="006471B7">
        <w:t>Agriculture and Horticulture</w:t>
      </w:r>
      <w:r w:rsidR="00C5402B">
        <w:t xml:space="preserve">. </w:t>
      </w:r>
      <w:r w:rsidR="00B74E34">
        <w:t>These included both multiple choice answer questions and long form, written response questions</w:t>
      </w:r>
      <w:r w:rsidR="00C5402B">
        <w:t>.</w:t>
      </w:r>
    </w:p>
    <w:p w14:paraId="0F467CF0" w14:textId="1A88F3B9" w:rsidR="00B74E34" w:rsidRPr="002B60B8" w:rsidRDefault="00B74E34" w:rsidP="00B74E34">
      <w:pPr>
        <w:numPr>
          <w:ilvl w:val="0"/>
          <w:numId w:val="4"/>
        </w:numPr>
        <w:spacing w:before="40" w:after="200" w:line="276" w:lineRule="auto"/>
        <w:ind w:left="567" w:hanging="567"/>
        <w:jc w:val="both"/>
        <w:rPr>
          <w:rFonts w:cs="Arial"/>
        </w:rPr>
      </w:pPr>
      <w:r>
        <w:t xml:space="preserve">Feedback was also provided by the four NCEA panels. Each panel did not review every subject </w:t>
      </w:r>
      <w:r w:rsidR="002666AC">
        <w:t xml:space="preserve">– </w:t>
      </w:r>
      <w:r>
        <w:t xml:space="preserve">for </w:t>
      </w:r>
      <w:r w:rsidR="006471B7">
        <w:t>Agriculture and Horticulture</w:t>
      </w:r>
      <w:r>
        <w:t xml:space="preserve">, feedback was received from </w:t>
      </w:r>
      <w:r w:rsidR="004F08A6">
        <w:t>the Pacific</w:t>
      </w:r>
      <w:r w:rsidR="006471B7">
        <w:t xml:space="preserve"> </w:t>
      </w:r>
      <w:r w:rsidR="006C031A">
        <w:t>and</w:t>
      </w:r>
      <w:r w:rsidR="004F08A6">
        <w:t xml:space="preserve"> </w:t>
      </w:r>
      <w:r w:rsidR="006C031A">
        <w:t>Pathways</w:t>
      </w:r>
      <w:r w:rsidR="004F08A6">
        <w:t xml:space="preserve"> Panels.</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408B928E" w14:textId="5E7C4DBD" w:rsidR="0036560E" w:rsidRDefault="00C54B2A" w:rsidP="00C479F6">
      <w:pPr>
        <w:numPr>
          <w:ilvl w:val="2"/>
          <w:numId w:val="4"/>
        </w:numPr>
        <w:spacing w:before="40" w:after="200" w:line="276" w:lineRule="auto"/>
        <w:jc w:val="both"/>
        <w:rPr>
          <w:rFonts w:cs="Arial"/>
        </w:rPr>
      </w:pPr>
      <w:r>
        <w:rPr>
          <w:rFonts w:cs="Arial"/>
        </w:rPr>
        <w:t>Online</w:t>
      </w:r>
    </w:p>
    <w:p w14:paraId="45821DA3" w14:textId="62105018" w:rsidR="0036560E" w:rsidRDefault="00C54B2A" w:rsidP="00C479F6">
      <w:pPr>
        <w:numPr>
          <w:ilvl w:val="2"/>
          <w:numId w:val="4"/>
        </w:numPr>
        <w:spacing w:before="40" w:after="200" w:line="276" w:lineRule="auto"/>
        <w:jc w:val="both"/>
        <w:rPr>
          <w:rFonts w:cs="Arial"/>
        </w:rPr>
      </w:pPr>
      <w:r>
        <w:rPr>
          <w:rFonts w:cs="Arial"/>
        </w:rPr>
        <w:t>Focus Group</w:t>
      </w:r>
    </w:p>
    <w:p w14:paraId="2BB7DE11" w14:textId="22ECA7C9" w:rsidR="0036560E" w:rsidRDefault="00C54B2A" w:rsidP="00C479F6">
      <w:pPr>
        <w:numPr>
          <w:ilvl w:val="2"/>
          <w:numId w:val="4"/>
        </w:numPr>
        <w:spacing w:before="40" w:after="200" w:line="276" w:lineRule="auto"/>
        <w:jc w:val="both"/>
        <w:rPr>
          <w:rFonts w:cs="Arial"/>
        </w:rPr>
      </w:pPr>
      <w:r>
        <w:rPr>
          <w:rFonts w:cs="Arial"/>
        </w:rPr>
        <w:t>NCEA Panels</w:t>
      </w:r>
    </w:p>
    <w:p w14:paraId="6BED7D31" w14:textId="0C17AF5D" w:rsidR="00CF0473" w:rsidRDefault="00CF0473" w:rsidP="00C479F6">
      <w:pPr>
        <w:numPr>
          <w:ilvl w:val="2"/>
          <w:numId w:val="4"/>
        </w:numPr>
        <w:spacing w:before="40" w:after="200" w:line="276" w:lineRule="auto"/>
        <w:jc w:val="both"/>
        <w:rPr>
          <w:rFonts w:cs="Arial"/>
        </w:rPr>
      </w:pPr>
      <w:r>
        <w:rPr>
          <w:rFonts w:cs="Arial"/>
        </w:rPr>
        <w:t>Mātauranga Māori Expert Review</w:t>
      </w:r>
    </w:p>
    <w:p w14:paraId="03AF4088" w14:textId="007C7D28" w:rsidR="00FE1A15" w:rsidRDefault="00FE1A15" w:rsidP="00C479F6">
      <w:pPr>
        <w:numPr>
          <w:ilvl w:val="2"/>
          <w:numId w:val="4"/>
        </w:numPr>
        <w:spacing w:before="40" w:after="200" w:line="276" w:lineRule="auto"/>
        <w:jc w:val="both"/>
        <w:rPr>
          <w:rFonts w:cs="Arial"/>
        </w:rPr>
      </w:pPr>
      <w:r w:rsidRPr="00FE1A15">
        <w:rPr>
          <w:rFonts w:cs="Arial"/>
        </w:rPr>
        <w:t>Horticulture and Agriculture Teachers Association Conference</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1FED8117" w:rsidR="00C5402B" w:rsidRPr="00F745D2" w:rsidRDefault="00C5402B" w:rsidP="00C5402B">
      <w:pPr>
        <w:numPr>
          <w:ilvl w:val="0"/>
          <w:numId w:val="4"/>
        </w:numPr>
        <w:spacing w:before="40" w:after="200" w:line="276" w:lineRule="auto"/>
        <w:ind w:left="567" w:hanging="567"/>
        <w:jc w:val="both"/>
      </w:pPr>
      <w:r>
        <w:rPr>
          <w:rFonts w:cs="Arial"/>
        </w:rPr>
        <w:lastRenderedPageBreak/>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 xml:space="preserve">by those who fed back on the draft </w:t>
      </w:r>
      <w:r w:rsidR="001B77F7">
        <w:rPr>
          <w:rFonts w:cs="Arial"/>
        </w:rPr>
        <w:t>subject content</w:t>
      </w:r>
      <w:r w:rsidR="00C54B2A">
        <w:rPr>
          <w:rFonts w:cs="Arial"/>
        </w:rPr>
        <w:t>.</w:t>
      </w:r>
    </w:p>
    <w:p w14:paraId="0C31A6D1" w14:textId="77777777" w:rsidR="00F745D2" w:rsidRPr="004E7330" w:rsidRDefault="00F745D2" w:rsidP="00F745D2">
      <w:pPr>
        <w:spacing w:before="40" w:after="200" w:line="276" w:lineRule="auto"/>
        <w:ind w:left="567"/>
        <w:jc w:val="both"/>
      </w:pPr>
    </w:p>
    <w:p w14:paraId="76581E34" w14:textId="16BD520A" w:rsidR="0036560E" w:rsidRDefault="0036560E" w:rsidP="0036560E">
      <w:pPr>
        <w:pStyle w:val="Heading2"/>
        <w:jc w:val="both"/>
      </w:pPr>
      <w:bookmarkStart w:id="4" w:name="_Toc47110535"/>
      <w:bookmarkStart w:id="5" w:name="_Toc68686656"/>
      <w:r>
        <w:t>General Overview</w:t>
      </w:r>
      <w:bookmarkEnd w:id="4"/>
      <w:r w:rsidR="00C54B2A">
        <w:t xml:space="preserve"> and Themes</w:t>
      </w:r>
      <w:bookmarkEnd w:id="5"/>
    </w:p>
    <w:p w14:paraId="559C10AE" w14:textId="77777777" w:rsidR="0036560E" w:rsidRDefault="0036560E" w:rsidP="00FC6F2E">
      <w:pPr>
        <w:pStyle w:val="BodyText"/>
      </w:pPr>
    </w:p>
    <w:p w14:paraId="47A05655" w14:textId="1452F2D9" w:rsidR="008F1151" w:rsidRDefault="008F1151" w:rsidP="008F1151">
      <w:pPr>
        <w:pStyle w:val="BodyText"/>
        <w:numPr>
          <w:ilvl w:val="0"/>
          <w:numId w:val="5"/>
        </w:numPr>
        <w:rPr>
          <w:b/>
          <w:bCs/>
          <w:i/>
          <w:iCs/>
        </w:rPr>
      </w:pPr>
      <w:r>
        <w:rPr>
          <w:b/>
          <w:bCs/>
          <w:i/>
          <w:iCs/>
        </w:rPr>
        <w:t>Approach to</w:t>
      </w:r>
      <w:r w:rsidR="00AE008F">
        <w:rPr>
          <w:b/>
          <w:bCs/>
          <w:i/>
          <w:iCs/>
        </w:rPr>
        <w:t xml:space="preserve"> a</w:t>
      </w:r>
      <w:r>
        <w:rPr>
          <w:b/>
          <w:bCs/>
          <w:i/>
          <w:iCs/>
        </w:rPr>
        <w:t>gribusiness</w:t>
      </w:r>
    </w:p>
    <w:p w14:paraId="4723EA58" w14:textId="544A6CB6" w:rsidR="00B4506A" w:rsidRDefault="00B4506A" w:rsidP="00B4506A">
      <w:pPr>
        <w:pStyle w:val="BodyText"/>
      </w:pPr>
      <w:r>
        <w:t xml:space="preserve">Some respondents were concerned about the </w:t>
      </w:r>
      <w:r w:rsidR="00B67E9D">
        <w:t>incorporation</w:t>
      </w:r>
      <w:r>
        <w:t xml:space="preserve"> of business concepts in the </w:t>
      </w:r>
      <w:r w:rsidR="004D4576">
        <w:t>subject content</w:t>
      </w:r>
      <w:r>
        <w:t xml:space="preserve">, pointing specifically to </w:t>
      </w:r>
      <w:r w:rsidR="00B67E9D">
        <w:t>the inclusion</w:t>
      </w:r>
      <w:r>
        <w:t xml:space="preserve"> to marketing in the unpacking of Achievement Standard 1.3 and L8 of the Learning Matrix</w:t>
      </w:r>
      <w:r w:rsidR="00CA4975">
        <w:t xml:space="preserve">. </w:t>
      </w:r>
      <w:r>
        <w:t xml:space="preserve">There were comments that the </w:t>
      </w:r>
      <w:r w:rsidR="004D4576">
        <w:t>subject content</w:t>
      </w:r>
      <w:r>
        <w:t xml:space="preserve"> should have a stronger science focus.</w:t>
      </w:r>
    </w:p>
    <w:p w14:paraId="284A1100" w14:textId="17AED97F" w:rsidR="0066135A" w:rsidRDefault="00B4506A" w:rsidP="007F77B9">
      <w:pPr>
        <w:pStyle w:val="BodyText"/>
      </w:pPr>
      <w:r>
        <w:t xml:space="preserve">Other respondents </w:t>
      </w:r>
      <w:r w:rsidR="00DD077C">
        <w:t xml:space="preserve">favoured the inclusion of agribusiness concepts in Agriculture and Horticultural Science, </w:t>
      </w:r>
      <w:r w:rsidR="00B67E9D">
        <w:t>noting</w:t>
      </w:r>
      <w:r w:rsidR="00DD077C">
        <w:t xml:space="preserve"> </w:t>
      </w:r>
      <w:r w:rsidR="00611C21">
        <w:t>the</w:t>
      </w:r>
      <w:r w:rsidR="00DD077C">
        <w:t xml:space="preserve"> importance </w:t>
      </w:r>
      <w:r w:rsidR="00611C21">
        <w:t xml:space="preserve">of agribusiness </w:t>
      </w:r>
      <w:r w:rsidR="00DD077C">
        <w:t xml:space="preserve">to career pathways in the New Zealand </w:t>
      </w:r>
      <w:r w:rsidR="00611C21">
        <w:t xml:space="preserve">economy. </w:t>
      </w:r>
    </w:p>
    <w:p w14:paraId="6A42B9E6" w14:textId="21EDC215" w:rsidR="007F77B9" w:rsidRDefault="00435253" w:rsidP="00435253">
      <w:pPr>
        <w:pStyle w:val="BodyText"/>
        <w:numPr>
          <w:ilvl w:val="0"/>
          <w:numId w:val="5"/>
        </w:numPr>
        <w:rPr>
          <w:b/>
          <w:bCs/>
          <w:i/>
          <w:iCs/>
        </w:rPr>
      </w:pPr>
      <w:r>
        <w:rPr>
          <w:b/>
          <w:bCs/>
          <w:i/>
          <w:iCs/>
        </w:rPr>
        <w:t>Practical skills</w:t>
      </w:r>
    </w:p>
    <w:p w14:paraId="3E7B677E" w14:textId="7AB5B93B" w:rsidR="00611C21" w:rsidRPr="00611C21" w:rsidRDefault="00CA4975" w:rsidP="00611C21">
      <w:pPr>
        <w:pStyle w:val="BodyText"/>
      </w:pPr>
      <w:r>
        <w:t xml:space="preserve">Some respondents noted that practical skills have been removed from the </w:t>
      </w:r>
      <w:r w:rsidR="004D4576">
        <w:t>subject content</w:t>
      </w:r>
      <w:r>
        <w:t>.</w:t>
      </w:r>
      <w:r w:rsidR="00611C21">
        <w:t xml:space="preserve"> There were concerns that this limits the utility of the subject as a vocational pathway for students who would enter the workforce without continuing to higher education. It was also noted that this would be prohibitive for students with lower literacy skills.</w:t>
      </w:r>
    </w:p>
    <w:p w14:paraId="688C88AF" w14:textId="7E1C861A" w:rsidR="00611C21" w:rsidRDefault="00611C21" w:rsidP="00435253">
      <w:pPr>
        <w:pStyle w:val="BodyText"/>
        <w:numPr>
          <w:ilvl w:val="0"/>
          <w:numId w:val="5"/>
        </w:numPr>
        <w:rPr>
          <w:b/>
          <w:bCs/>
          <w:i/>
          <w:iCs/>
        </w:rPr>
      </w:pPr>
      <w:r>
        <w:rPr>
          <w:b/>
          <w:bCs/>
          <w:i/>
          <w:iCs/>
        </w:rPr>
        <w:t>Industries covered by Agriculture and Horticulture Science</w:t>
      </w:r>
    </w:p>
    <w:p w14:paraId="67A0384C" w14:textId="0962AD1C" w:rsidR="00611C21" w:rsidRDefault="00611C21" w:rsidP="00611C21">
      <w:pPr>
        <w:pStyle w:val="BodyText"/>
      </w:pPr>
      <w:r>
        <w:t xml:space="preserve">It was suggested by some respondents that the </w:t>
      </w:r>
      <w:r w:rsidR="004D4576">
        <w:t>subject content</w:t>
      </w:r>
      <w:r>
        <w:t xml:space="preserve"> could be broadened from a focus on land use to explicitly </w:t>
      </w:r>
      <w:r w:rsidR="004D4576">
        <w:t>cover</w:t>
      </w:r>
      <w:r>
        <w:t xml:space="preserve"> other important New Zealand industries such as forestry, viticulture, and fisheries.</w:t>
      </w:r>
    </w:p>
    <w:p w14:paraId="681EEEAC" w14:textId="1044BFD9" w:rsidR="00435253" w:rsidRDefault="00435253" w:rsidP="00611C21">
      <w:pPr>
        <w:pStyle w:val="BodyText"/>
        <w:numPr>
          <w:ilvl w:val="0"/>
          <w:numId w:val="5"/>
        </w:numPr>
        <w:rPr>
          <w:b/>
          <w:bCs/>
          <w:i/>
          <w:iCs/>
        </w:rPr>
      </w:pPr>
      <w:r>
        <w:rPr>
          <w:b/>
          <w:bCs/>
          <w:i/>
          <w:iCs/>
        </w:rPr>
        <w:t xml:space="preserve">Inclusion of </w:t>
      </w:r>
      <w:proofErr w:type="spellStart"/>
      <w:r>
        <w:rPr>
          <w:b/>
          <w:bCs/>
          <w:i/>
          <w:iCs/>
        </w:rPr>
        <w:t>te</w:t>
      </w:r>
      <w:proofErr w:type="spellEnd"/>
      <w:r>
        <w:rPr>
          <w:b/>
          <w:bCs/>
          <w:i/>
          <w:iCs/>
        </w:rPr>
        <w:t xml:space="preserve"> </w:t>
      </w:r>
      <w:proofErr w:type="spellStart"/>
      <w:r>
        <w:rPr>
          <w:b/>
          <w:bCs/>
          <w:i/>
          <w:iCs/>
        </w:rPr>
        <w:t>ao</w:t>
      </w:r>
      <w:proofErr w:type="spellEnd"/>
      <w:r>
        <w:rPr>
          <w:b/>
          <w:bCs/>
          <w:i/>
          <w:iCs/>
        </w:rPr>
        <w:t xml:space="preserve"> Māori</w:t>
      </w:r>
    </w:p>
    <w:p w14:paraId="5EDB5DC6" w14:textId="0CCC7D5A" w:rsidR="00435253" w:rsidRDefault="00435253" w:rsidP="00435253">
      <w:pPr>
        <w:pStyle w:val="BodyText"/>
      </w:pPr>
      <w:r>
        <w:t xml:space="preserve">Respondents generally received the inclusion of </w:t>
      </w:r>
      <w:proofErr w:type="spellStart"/>
      <w:r>
        <w:t>te</w:t>
      </w:r>
      <w:proofErr w:type="spellEnd"/>
      <w:r>
        <w:t xml:space="preserve"> </w:t>
      </w:r>
      <w:proofErr w:type="spellStart"/>
      <w:r>
        <w:t>ao</w:t>
      </w:r>
      <w:proofErr w:type="spellEnd"/>
      <w:r>
        <w:t xml:space="preserve"> Māori warmly, and noted that mātauranga Māori concepts seemed well integrated into the </w:t>
      </w:r>
      <w:r w:rsidR="004D4576">
        <w:t>subject content</w:t>
      </w:r>
      <w:r>
        <w:t>. Some respondents noted that a lack of knowledge of mātauranga Māori would be a potential barrier to implementation, and there was a call for professional development and further resourcing in this area.</w:t>
      </w:r>
    </w:p>
    <w:p w14:paraId="49EE9E11" w14:textId="4A355009" w:rsidR="00A46AAA" w:rsidRDefault="00A46AAA" w:rsidP="00A46AAA">
      <w:pPr>
        <w:pStyle w:val="BodyText"/>
        <w:numPr>
          <w:ilvl w:val="0"/>
          <w:numId w:val="5"/>
        </w:numPr>
        <w:rPr>
          <w:b/>
          <w:bCs/>
          <w:i/>
          <w:iCs/>
        </w:rPr>
      </w:pPr>
      <w:r>
        <w:rPr>
          <w:b/>
          <w:bCs/>
          <w:i/>
          <w:iCs/>
        </w:rPr>
        <w:t>Clarification of Assessment</w:t>
      </w:r>
    </w:p>
    <w:p w14:paraId="7A4C43DB" w14:textId="20B61753" w:rsidR="00A46AAA" w:rsidRPr="00A46AAA" w:rsidRDefault="00A46AAA" w:rsidP="00A46AAA">
      <w:pPr>
        <w:pStyle w:val="BodyText"/>
      </w:pPr>
      <w:r>
        <w:t xml:space="preserve">A couple of respondents </w:t>
      </w:r>
      <w:r w:rsidR="004D4576">
        <w:t>noted</w:t>
      </w:r>
      <w:r>
        <w:t xml:space="preserve"> </w:t>
      </w:r>
      <w:r w:rsidR="004D4576">
        <w:t>a</w:t>
      </w:r>
      <w:r>
        <w:t xml:space="preserve"> lack of specific detail regarding assessment. </w:t>
      </w:r>
    </w:p>
    <w:p w14:paraId="24A6DC58" w14:textId="77777777" w:rsidR="00A46AAA" w:rsidRPr="00A46AAA" w:rsidRDefault="00A46AAA" w:rsidP="00A46AAA">
      <w:pPr>
        <w:pStyle w:val="BodyText"/>
      </w:pPr>
    </w:p>
    <w:p w14:paraId="657479DA" w14:textId="77777777" w:rsidR="00611C21" w:rsidRDefault="00611C21">
      <w:pPr>
        <w:rPr>
          <w:b/>
          <w:color w:val="2A6EBB"/>
          <w:sz w:val="24"/>
          <w:szCs w:val="24"/>
        </w:rPr>
      </w:pPr>
      <w:bookmarkStart w:id="6" w:name="_Toc68686657"/>
      <w:r>
        <w:br w:type="page"/>
      </w:r>
    </w:p>
    <w:p w14:paraId="36BB98B7" w14:textId="4DE5016C" w:rsidR="00C54B2A" w:rsidRDefault="00C54B2A" w:rsidP="00C54B2A">
      <w:pPr>
        <w:pStyle w:val="Heading2"/>
      </w:pPr>
      <w:r>
        <w:lastRenderedPageBreak/>
        <w:t>Sources of Feedback</w:t>
      </w:r>
      <w:bookmarkEnd w:id="6"/>
    </w:p>
    <w:p w14:paraId="1E2DD3C8" w14:textId="77777777" w:rsidR="00C54B2A" w:rsidRDefault="00C54B2A" w:rsidP="00C54B2A">
      <w:pPr>
        <w:pStyle w:val="Heading4"/>
      </w:pPr>
      <w:r>
        <w:t>Online</w:t>
      </w:r>
    </w:p>
    <w:p w14:paraId="6669FC78" w14:textId="463133C9" w:rsidR="00997B10" w:rsidRDefault="00FE1A15" w:rsidP="00C54B2A">
      <w:pPr>
        <w:pStyle w:val="BodyText"/>
      </w:pPr>
      <w:r>
        <w:rPr>
          <w:noProof/>
        </w:rPr>
        <w:drawing>
          <wp:anchor distT="0" distB="0" distL="114300" distR="114300" simplePos="0" relativeHeight="251661312" behindDoc="1" locked="0" layoutInCell="1" allowOverlap="1" wp14:anchorId="5D423E47" wp14:editId="5558EE93">
            <wp:simplePos x="0" y="0"/>
            <wp:positionH relativeFrom="margin">
              <wp:posOffset>3322320</wp:posOffset>
            </wp:positionH>
            <wp:positionV relativeFrom="paragraph">
              <wp:posOffset>2675255</wp:posOffset>
            </wp:positionV>
            <wp:extent cx="3320415" cy="2447290"/>
            <wp:effectExtent l="0" t="0" r="13335" b="10160"/>
            <wp:wrapTight wrapText="bothSides">
              <wp:wrapPolygon edited="0">
                <wp:start x="0" y="0"/>
                <wp:lineTo x="0" y="21522"/>
                <wp:lineTo x="21563" y="21522"/>
                <wp:lineTo x="21563" y="0"/>
                <wp:lineTo x="0" y="0"/>
              </wp:wrapPolygon>
            </wp:wrapTight>
            <wp:docPr id="18" name="Chart 18">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9A33A20" wp14:editId="249DF3D6">
            <wp:simplePos x="0" y="0"/>
            <wp:positionH relativeFrom="page">
              <wp:posOffset>4066540</wp:posOffset>
            </wp:positionH>
            <wp:positionV relativeFrom="paragraph">
              <wp:posOffset>5241925</wp:posOffset>
            </wp:positionV>
            <wp:extent cx="3288030" cy="2438400"/>
            <wp:effectExtent l="0" t="0" r="7620" b="0"/>
            <wp:wrapTight wrapText="bothSides">
              <wp:wrapPolygon edited="0">
                <wp:start x="0" y="0"/>
                <wp:lineTo x="0" y="21431"/>
                <wp:lineTo x="21525" y="21431"/>
                <wp:lineTo x="21525" y="0"/>
                <wp:lineTo x="0" y="0"/>
              </wp:wrapPolygon>
            </wp:wrapTight>
            <wp:docPr id="20" name="Chart 20">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54F45">
        <w:rPr>
          <w:noProof/>
        </w:rPr>
        <w:drawing>
          <wp:anchor distT="0" distB="0" distL="114300" distR="114300" simplePos="0" relativeHeight="251662336" behindDoc="1" locked="0" layoutInCell="1" allowOverlap="1" wp14:anchorId="760B7919" wp14:editId="23B21389">
            <wp:simplePos x="0" y="0"/>
            <wp:positionH relativeFrom="margin">
              <wp:align>left</wp:align>
            </wp:positionH>
            <wp:positionV relativeFrom="paragraph">
              <wp:posOffset>5226050</wp:posOffset>
            </wp:positionV>
            <wp:extent cx="3175000" cy="2413000"/>
            <wp:effectExtent l="0" t="0" r="6350" b="6350"/>
            <wp:wrapTight wrapText="bothSides">
              <wp:wrapPolygon edited="0">
                <wp:start x="0" y="0"/>
                <wp:lineTo x="0" y="21486"/>
                <wp:lineTo x="21514" y="21486"/>
                <wp:lineTo x="21514" y="0"/>
                <wp:lineTo x="0" y="0"/>
              </wp:wrapPolygon>
            </wp:wrapTight>
            <wp:docPr id="19" name="Chart 19">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54F45">
        <w:rPr>
          <w:noProof/>
        </w:rPr>
        <w:drawing>
          <wp:anchor distT="0" distB="0" distL="114300" distR="114300" simplePos="0" relativeHeight="251660288" behindDoc="1" locked="0" layoutInCell="1" allowOverlap="1" wp14:anchorId="6B7EEB72" wp14:editId="65BBC2D7">
            <wp:simplePos x="0" y="0"/>
            <wp:positionH relativeFrom="margin">
              <wp:align>left</wp:align>
            </wp:positionH>
            <wp:positionV relativeFrom="paragraph">
              <wp:posOffset>2660650</wp:posOffset>
            </wp:positionV>
            <wp:extent cx="3200400" cy="2463800"/>
            <wp:effectExtent l="0" t="0" r="0" b="12700"/>
            <wp:wrapTight wrapText="bothSides">
              <wp:wrapPolygon edited="0">
                <wp:start x="0" y="0"/>
                <wp:lineTo x="0" y="21544"/>
                <wp:lineTo x="21471" y="21544"/>
                <wp:lineTo x="21471" y="0"/>
                <wp:lineTo x="0" y="0"/>
              </wp:wrapPolygon>
            </wp:wrapTight>
            <wp:docPr id="17" name="Chart 17">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154F45">
        <w:rPr>
          <w:noProof/>
        </w:rPr>
        <w:drawing>
          <wp:anchor distT="0" distB="0" distL="114300" distR="114300" simplePos="0" relativeHeight="251659264" behindDoc="1" locked="0" layoutInCell="1" allowOverlap="1" wp14:anchorId="639976AD" wp14:editId="11AF816D">
            <wp:simplePos x="0" y="0"/>
            <wp:positionH relativeFrom="column">
              <wp:posOffset>3331210</wp:posOffset>
            </wp:positionH>
            <wp:positionV relativeFrom="paragraph">
              <wp:posOffset>285750</wp:posOffset>
            </wp:positionV>
            <wp:extent cx="3340100" cy="2235200"/>
            <wp:effectExtent l="0" t="0" r="12700" b="12700"/>
            <wp:wrapTight wrapText="bothSides">
              <wp:wrapPolygon edited="0">
                <wp:start x="0" y="0"/>
                <wp:lineTo x="0" y="21539"/>
                <wp:lineTo x="21559" y="21539"/>
                <wp:lineTo x="21559" y="0"/>
                <wp:lineTo x="0" y="0"/>
              </wp:wrapPolygon>
            </wp:wrapTight>
            <wp:docPr id="16" name="Chart 16">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154F45">
        <w:rPr>
          <w:noProof/>
        </w:rPr>
        <w:drawing>
          <wp:anchor distT="0" distB="0" distL="114300" distR="114300" simplePos="0" relativeHeight="251658240" behindDoc="1" locked="0" layoutInCell="1" allowOverlap="1" wp14:anchorId="30CF3EC3" wp14:editId="0F37BB2B">
            <wp:simplePos x="0" y="0"/>
            <wp:positionH relativeFrom="margin">
              <wp:align>left</wp:align>
            </wp:positionH>
            <wp:positionV relativeFrom="paragraph">
              <wp:posOffset>298450</wp:posOffset>
            </wp:positionV>
            <wp:extent cx="3213100" cy="2235200"/>
            <wp:effectExtent l="0" t="0" r="6350" b="12700"/>
            <wp:wrapTight wrapText="bothSides">
              <wp:wrapPolygon edited="0">
                <wp:start x="0" y="0"/>
                <wp:lineTo x="0" y="21539"/>
                <wp:lineTo x="21515" y="21539"/>
                <wp:lineTo x="21515" y="0"/>
                <wp:lineTo x="0" y="0"/>
              </wp:wrapPolygon>
            </wp:wrapTight>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97B10">
        <w:t>Below are the quantitative data questions summarised in graphs.</w:t>
      </w:r>
    </w:p>
    <w:p w14:paraId="6AA91459" w14:textId="1C7A497A" w:rsidR="00C54B2A" w:rsidRDefault="00C54B2A" w:rsidP="00C54B2A">
      <w:pPr>
        <w:pStyle w:val="BodyText"/>
      </w:pPr>
    </w:p>
    <w:p w14:paraId="39F40A41" w14:textId="455AD86A" w:rsidR="00154F45" w:rsidRDefault="00154F45">
      <w:pPr>
        <w:rPr>
          <w:b/>
          <w:sz w:val="20"/>
          <w:szCs w:val="24"/>
        </w:rPr>
      </w:pPr>
      <w:r>
        <w:br w:type="page"/>
      </w:r>
    </w:p>
    <w:p w14:paraId="655D8AB7" w14:textId="1FDE9B2F" w:rsidR="007C0FC4" w:rsidRDefault="007C0FC4" w:rsidP="007C0FC4">
      <w:pPr>
        <w:pStyle w:val="Heading4"/>
      </w:pPr>
      <w:r>
        <w:lastRenderedPageBreak/>
        <w:t>NCEA Panels</w:t>
      </w:r>
    </w:p>
    <w:p w14:paraId="16904B19" w14:textId="0F115719" w:rsidR="00854964" w:rsidRDefault="00854964" w:rsidP="007C0FC4">
      <w:pPr>
        <w:pStyle w:val="BodyText"/>
      </w:pPr>
      <w:r>
        <w:t xml:space="preserve">The NCEA Panels have raised some important issues </w:t>
      </w:r>
      <w:r w:rsidR="00A46AAA">
        <w:t>in addition to</w:t>
      </w:r>
      <w:r>
        <w:t xml:space="preserve"> themes which were </w:t>
      </w:r>
      <w:r w:rsidR="00A46AAA">
        <w:t xml:space="preserve">noted in the </w:t>
      </w:r>
      <w:r>
        <w:t>Feedback Survey</w:t>
      </w:r>
      <w:r w:rsidR="00A46AAA">
        <w:t xml:space="preserve"> responses.</w:t>
      </w:r>
    </w:p>
    <w:p w14:paraId="603902A0" w14:textId="3F06E84E" w:rsidR="000F276D" w:rsidRDefault="00154F45" w:rsidP="007C0FC4">
      <w:pPr>
        <w:pStyle w:val="BodyText"/>
      </w:pPr>
      <w:r>
        <w:t>The Pacific Panel</w:t>
      </w:r>
      <w:r w:rsidR="00611C21">
        <w:t xml:space="preserve"> commented positively </w:t>
      </w:r>
      <w:r w:rsidR="000F276D">
        <w:t xml:space="preserve">that the draft Agriculture and Horticulture Science </w:t>
      </w:r>
      <w:r w:rsidR="004D4576">
        <w:t>content</w:t>
      </w:r>
      <w:r w:rsidR="000F276D">
        <w:t xml:space="preserve"> </w:t>
      </w:r>
      <w:r w:rsidR="004D4576">
        <w:t>is</w:t>
      </w:r>
      <w:r w:rsidR="000F276D">
        <w:t xml:space="preserve"> heading in the right direction. Specific suggestions were given for improvements, including explicitly linking to Pacific sustainability practices, integrating a focus on relationships and community, and </w:t>
      </w:r>
      <w:r w:rsidR="00467421">
        <w:t>specifying</w:t>
      </w:r>
      <w:r w:rsidR="000F276D">
        <w:t xml:space="preserve"> </w:t>
      </w:r>
      <w:r w:rsidR="00467421">
        <w:t>that learning is</w:t>
      </w:r>
      <w:r w:rsidR="000F276D">
        <w:t xml:space="preserve"> </w:t>
      </w:r>
      <w:r w:rsidR="00467421">
        <w:t xml:space="preserve">Pacific Region place </w:t>
      </w:r>
      <w:r w:rsidR="000F276D">
        <w:t>based</w:t>
      </w:r>
      <w:r w:rsidR="00467421">
        <w:t>.</w:t>
      </w:r>
    </w:p>
    <w:p w14:paraId="20D0425B" w14:textId="627DF9E0" w:rsidR="006471B7" w:rsidRDefault="006471B7" w:rsidP="00467421">
      <w:pPr>
        <w:pStyle w:val="BodyText"/>
      </w:pPr>
      <w:r>
        <w:t>The Pathways Panel commented</w:t>
      </w:r>
      <w:r w:rsidR="00467421">
        <w:t xml:space="preserve"> that the </w:t>
      </w:r>
      <w:r w:rsidR="004D4576">
        <w:t>content</w:t>
      </w:r>
      <w:r w:rsidR="00467421">
        <w:t xml:space="preserve"> user friendly and accessible. They noted that contextualisation will be important to make the learning relevant for students and suggested that this could be made more explicit. It was also suggested that inclusion of the history of agriculture and horticulture in New Zealand could strengthen the</w:t>
      </w:r>
      <w:r w:rsidR="004D4576">
        <w:t xml:space="preserve"> content.</w:t>
      </w:r>
    </w:p>
    <w:p w14:paraId="19B47A9A" w14:textId="033B961F" w:rsidR="00CF0473" w:rsidRDefault="00CF0473" w:rsidP="00CF0473">
      <w:pPr>
        <w:pStyle w:val="BodyText"/>
        <w:rPr>
          <w:b/>
          <w:bCs/>
        </w:rPr>
      </w:pPr>
      <w:r w:rsidRPr="00CF0473">
        <w:rPr>
          <w:b/>
          <w:bCs/>
        </w:rPr>
        <w:t>Mātauranga Māori Expert Review</w:t>
      </w:r>
    </w:p>
    <w:p w14:paraId="735EE102" w14:textId="71D6E117" w:rsidR="003B7505" w:rsidRDefault="00CF0473" w:rsidP="00CF0473">
      <w:pPr>
        <w:pStyle w:val="BodyText"/>
      </w:pPr>
      <w:r>
        <w:t xml:space="preserve">The Mātauranga Māori Expert Review team undertook a careful analysis of the subject content. They noted a scarcity of mātauranga Māori concepts in Big Ideas which is carried through to the Significant Learning and requested that mātauranga Māori ideas are made </w:t>
      </w:r>
      <w:proofErr w:type="gramStart"/>
      <w:r>
        <w:t>explicit</w:t>
      </w:r>
      <w:proofErr w:type="gramEnd"/>
      <w:r>
        <w:t xml:space="preserve"> so their inclusion does not get left to chance.</w:t>
      </w:r>
      <w:bookmarkStart w:id="7" w:name="_Toc68686658"/>
    </w:p>
    <w:p w14:paraId="5B862BE3" w14:textId="0C5CB58F" w:rsidR="00D249F0" w:rsidRDefault="00D249F0" w:rsidP="00CF0473">
      <w:pPr>
        <w:pStyle w:val="BodyText"/>
        <w:rPr>
          <w:b/>
          <w:bCs/>
        </w:rPr>
      </w:pPr>
      <w:r>
        <w:rPr>
          <w:b/>
          <w:bCs/>
        </w:rPr>
        <w:t>Horticulture and Agriculture Teachers Association Conference</w:t>
      </w:r>
    </w:p>
    <w:p w14:paraId="0B290905" w14:textId="4182AC42" w:rsidR="00D249F0" w:rsidRDefault="00D249F0" w:rsidP="00CF0473">
      <w:pPr>
        <w:pStyle w:val="BodyText"/>
      </w:pPr>
      <w:bookmarkStart w:id="8" w:name="_Hlk70513300"/>
      <w:r>
        <w:t xml:space="preserve">The Horticulture and Agriculture Teachers Association noted that use of “Agriculture and Horticulture” in the draft Achievement Standard titles will require assessment of </w:t>
      </w:r>
      <w:r w:rsidRPr="00D249F0">
        <w:rPr>
          <w:b/>
          <w:bCs/>
        </w:rPr>
        <w:t>both</w:t>
      </w:r>
      <w:r>
        <w:t xml:space="preserve"> Agriculture and Horticulture understandings. They queried whether this was the intent and asked for clarity.</w:t>
      </w:r>
    </w:p>
    <w:p w14:paraId="4D17280F" w14:textId="02ADD217" w:rsidR="00D249F0" w:rsidRPr="00D249F0" w:rsidRDefault="00D249F0" w:rsidP="00CF0473">
      <w:pPr>
        <w:pStyle w:val="BodyText"/>
      </w:pPr>
      <w:r>
        <w:t>They also suggested that Achievement Standard 1.1 includes a large amount of content and could be split into life processes and management practices. They thought that Achievement Standards 1.3 and 1.4 could be combined to accommodate this.</w:t>
      </w:r>
    </w:p>
    <w:bookmarkEnd w:id="8"/>
    <w:p w14:paraId="56F6AE81" w14:textId="07EAD46D" w:rsidR="00E733B0" w:rsidRDefault="007C0FC4" w:rsidP="002C176A">
      <w:pPr>
        <w:pStyle w:val="Heading2"/>
      </w:pPr>
      <w:r>
        <w:t>Next Steps</w:t>
      </w:r>
      <w:bookmarkEnd w:id="7"/>
    </w:p>
    <w:p w14:paraId="56E408F4" w14:textId="77777777" w:rsidR="002C176A" w:rsidRPr="002C176A" w:rsidRDefault="002C176A" w:rsidP="002C176A">
      <w:pPr>
        <w:pStyle w:val="BodyText"/>
      </w:pPr>
    </w:p>
    <w:p w14:paraId="51DA7193" w14:textId="4D1C07BB" w:rsidR="00A46AAA" w:rsidRDefault="00A46AAA" w:rsidP="00A46AAA">
      <w:pPr>
        <w:pStyle w:val="BodyText"/>
        <w:rPr>
          <w:b/>
          <w:bCs/>
        </w:rPr>
      </w:pPr>
      <w:r w:rsidRPr="004645A2">
        <w:rPr>
          <w:b/>
          <w:bCs/>
        </w:rPr>
        <w:t>Ministry Actions</w:t>
      </w:r>
    </w:p>
    <w:p w14:paraId="47617D21" w14:textId="5E42E78C" w:rsidR="00FE1A15" w:rsidRPr="00FE1A15" w:rsidRDefault="00FE1A15" w:rsidP="00A46AAA">
      <w:pPr>
        <w:pStyle w:val="BodyText"/>
      </w:pPr>
      <w:r>
        <w:t>There are several recommendations which will be undertaken prior to reengaging the SEG. Some are too specific to detail in this report, but the overall themes are:</w:t>
      </w:r>
    </w:p>
    <w:p w14:paraId="4443E2B4" w14:textId="77777777" w:rsidR="00A46AAA" w:rsidRDefault="00A46AAA" w:rsidP="00A46AAA">
      <w:pPr>
        <w:pStyle w:val="BodyText"/>
        <w:numPr>
          <w:ilvl w:val="0"/>
          <w:numId w:val="7"/>
        </w:numPr>
      </w:pPr>
      <w:r w:rsidRPr="00E733B0">
        <w:t xml:space="preserve">Ministry to </w:t>
      </w:r>
      <w:r>
        <w:t xml:space="preserve">clarify position on addressing PLD concerns relation to: </w:t>
      </w:r>
    </w:p>
    <w:p w14:paraId="7B5CE61C" w14:textId="77777777" w:rsidR="00A46AAA" w:rsidRDefault="00A46AAA" w:rsidP="00A46AAA">
      <w:pPr>
        <w:pStyle w:val="BodyText"/>
        <w:numPr>
          <w:ilvl w:val="1"/>
          <w:numId w:val="7"/>
        </w:numPr>
      </w:pPr>
      <w:r>
        <w:t xml:space="preserve">being able to adequately reflect and competently deliver Mātauranga Māori in classroom settings, especially understanding </w:t>
      </w:r>
      <w:proofErr w:type="spellStart"/>
      <w:r>
        <w:t>kupu</w:t>
      </w:r>
      <w:proofErr w:type="spellEnd"/>
      <w:r>
        <w:t xml:space="preserve"> and concepts Māori</w:t>
      </w:r>
    </w:p>
    <w:p w14:paraId="35F4AE64" w14:textId="66AB136A" w:rsidR="00A46AAA" w:rsidRDefault="00A46AAA" w:rsidP="00A46AAA">
      <w:pPr>
        <w:pStyle w:val="BodyText"/>
        <w:numPr>
          <w:ilvl w:val="1"/>
          <w:numId w:val="7"/>
        </w:numPr>
      </w:pPr>
      <w:r>
        <w:t xml:space="preserve">preparing sample or exemplar materials to support the delivery of the new teaching, learning, and assessment </w:t>
      </w:r>
      <w:r w:rsidR="00547186">
        <w:t>subject content</w:t>
      </w:r>
      <w:r>
        <w:t xml:space="preserve">. These will be included in the Pilot </w:t>
      </w:r>
      <w:r w:rsidR="001B77F7">
        <w:t>subject content</w:t>
      </w:r>
      <w:r>
        <w:t>.</w:t>
      </w:r>
    </w:p>
    <w:p w14:paraId="06D313AA" w14:textId="77777777" w:rsidR="00A46AAA" w:rsidRDefault="00A46AAA" w:rsidP="00A46AAA">
      <w:pPr>
        <w:pStyle w:val="BodyText"/>
        <w:numPr>
          <w:ilvl w:val="0"/>
          <w:numId w:val="7"/>
        </w:numPr>
      </w:pPr>
      <w:r>
        <w:t>Ministry to clarify timing of development process and develop sector responses. This may be what the public should be expecting and when; and confirming what is being asked of the public at engagement points.</w:t>
      </w:r>
    </w:p>
    <w:p w14:paraId="6AA6125C" w14:textId="77777777" w:rsidR="00A46AAA" w:rsidRDefault="00A46AAA" w:rsidP="00A46AAA">
      <w:pPr>
        <w:pStyle w:val="BodyText"/>
        <w:numPr>
          <w:ilvl w:val="0"/>
          <w:numId w:val="7"/>
        </w:numPr>
      </w:pPr>
      <w:r>
        <w:t>Ministry to clarify, alongside NZQA, the ways in which both internal and external assessment are carried out.</w:t>
      </w:r>
    </w:p>
    <w:p w14:paraId="2F0E64B8" w14:textId="4513F41C" w:rsidR="00A46AAA" w:rsidRPr="00E733B0" w:rsidRDefault="00A46AAA" w:rsidP="00FE1A15">
      <w:pPr>
        <w:pStyle w:val="BodyText"/>
        <w:numPr>
          <w:ilvl w:val="0"/>
          <w:numId w:val="7"/>
        </w:numPr>
      </w:pPr>
      <w:r>
        <w:t xml:space="preserve">Ministry to continue to work on messaging about the concurrent curriculum refresh and how that work is </w:t>
      </w:r>
      <w:r w:rsidR="00FE1A15">
        <w:t>aligned</w:t>
      </w:r>
      <w:r>
        <w:t xml:space="preserve"> the Review of Achievement Standards.</w:t>
      </w:r>
    </w:p>
    <w:p w14:paraId="563AABB4" w14:textId="77777777" w:rsidR="00A46AAA" w:rsidRPr="004645A2" w:rsidRDefault="00A46AAA" w:rsidP="00A46AAA">
      <w:pPr>
        <w:pStyle w:val="BodyText"/>
        <w:rPr>
          <w:b/>
          <w:bCs/>
        </w:rPr>
      </w:pPr>
      <w:r w:rsidRPr="004645A2">
        <w:rPr>
          <w:b/>
          <w:bCs/>
        </w:rPr>
        <w:lastRenderedPageBreak/>
        <w:t>SEG actions</w:t>
      </w:r>
    </w:p>
    <w:p w14:paraId="23D9FDD8" w14:textId="1B9E53EA" w:rsidR="00A46AAA" w:rsidRDefault="00A46AAA" w:rsidP="00A46AAA">
      <w:pPr>
        <w:pStyle w:val="BodyText"/>
        <w:numPr>
          <w:ilvl w:val="0"/>
          <w:numId w:val="6"/>
        </w:numPr>
      </w:pPr>
      <w:r w:rsidRPr="00503E4A">
        <w:t xml:space="preserve">SEG to discuss how the </w:t>
      </w:r>
      <w:r w:rsidR="001B77F7">
        <w:t>subject content</w:t>
      </w:r>
      <w:r w:rsidRPr="00503E4A">
        <w:t xml:space="preserve"> can be best used to support users understanding of mātauranga Māori concepts and how they relate to teaching and learning</w:t>
      </w:r>
      <w:r w:rsidR="00D06CC2">
        <w:t xml:space="preserve"> in Agriculture and Horticulture Science</w:t>
      </w:r>
      <w:r w:rsidRPr="00503E4A">
        <w:t>.</w:t>
      </w:r>
    </w:p>
    <w:p w14:paraId="2681E8B7" w14:textId="7932EC12" w:rsidR="00D06CC2" w:rsidRPr="00503E4A" w:rsidRDefault="00D06CC2" w:rsidP="00A46AAA">
      <w:pPr>
        <w:pStyle w:val="BodyText"/>
        <w:numPr>
          <w:ilvl w:val="0"/>
          <w:numId w:val="6"/>
        </w:numPr>
      </w:pPr>
      <w:r>
        <w:t>SEG to review the wording of the Achievement Standard titles.</w:t>
      </w:r>
    </w:p>
    <w:p w14:paraId="7CEC1F0E" w14:textId="2367648D" w:rsidR="00A46AAA" w:rsidRDefault="00A46AAA" w:rsidP="00A46AAA">
      <w:pPr>
        <w:pStyle w:val="BodyText"/>
        <w:numPr>
          <w:ilvl w:val="0"/>
          <w:numId w:val="6"/>
        </w:numPr>
      </w:pPr>
      <w:r>
        <w:t xml:space="preserve">SEG to work through the Pacific and Pathways Panels feedback, prioritised by the SEG Facilitator and Technical Writer, and make appropriate additions to the Learning Matrix so that the </w:t>
      </w:r>
      <w:r w:rsidR="001B77F7">
        <w:t>subject content</w:t>
      </w:r>
      <w:r>
        <w:t xml:space="preserve"> more explicitly reflect</w:t>
      </w:r>
      <w:r w:rsidR="001B77F7">
        <w:t>s</w:t>
      </w:r>
      <w:r>
        <w:t xml:space="preserve"> all </w:t>
      </w:r>
      <w:proofErr w:type="spellStart"/>
      <w:r>
        <w:t>ākonga</w:t>
      </w:r>
      <w:proofErr w:type="spellEnd"/>
      <w:r>
        <w:t>.</w:t>
      </w:r>
    </w:p>
    <w:p w14:paraId="09706941" w14:textId="493E29C9" w:rsidR="00A46AAA" w:rsidRDefault="00A46AAA" w:rsidP="00A46AAA">
      <w:pPr>
        <w:pStyle w:val="BodyText"/>
        <w:numPr>
          <w:ilvl w:val="0"/>
          <w:numId w:val="6"/>
        </w:numPr>
      </w:pPr>
      <w:r>
        <w:t xml:space="preserve">Course Outlines to be reviewed during Phase Two and amended to reflect New Zealand Curriculum Level 6 as well as any changes made by the SEG to the TLAG. They will be republished alongside Phase Two </w:t>
      </w:r>
      <w:r w:rsidR="001B77F7">
        <w:t>subject content</w:t>
      </w:r>
      <w:r>
        <w:t>.</w:t>
      </w:r>
    </w:p>
    <w:p w14:paraId="76FB9801" w14:textId="214E2B78" w:rsidR="00A46AAA" w:rsidRDefault="00A46AAA" w:rsidP="00A46AAA">
      <w:pPr>
        <w:pStyle w:val="BodyText"/>
        <w:numPr>
          <w:ilvl w:val="0"/>
          <w:numId w:val="6"/>
        </w:numPr>
      </w:pPr>
      <w:r>
        <w:t xml:space="preserve">As part of Phase Two development further content and detail will be created for the Achievement Standards and their supporting </w:t>
      </w:r>
      <w:r w:rsidR="00547186">
        <w:t>subject content</w:t>
      </w:r>
      <w:r>
        <w:t>. While working on this development, the SEG will consider all relevant feedback as highlighted by the SEG Facilitator contained in this report.</w:t>
      </w:r>
    </w:p>
    <w:p w14:paraId="38829E2F" w14:textId="6F53A55B" w:rsidR="00D249F0" w:rsidRPr="00C54B2A" w:rsidRDefault="00D249F0" w:rsidP="00A46AAA">
      <w:pPr>
        <w:pStyle w:val="BodyText"/>
        <w:numPr>
          <w:ilvl w:val="0"/>
          <w:numId w:val="6"/>
        </w:numPr>
        <w:sectPr w:rsidR="00D249F0" w:rsidRPr="00C54B2A"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p>
    <w:p w14:paraId="39782B77" w14:textId="77777777" w:rsidR="00CF5151" w:rsidRPr="00CF5151" w:rsidRDefault="00CF5151" w:rsidP="00CF5151"/>
    <w:sectPr w:rsidR="00CF5151"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415BC" w14:textId="77777777" w:rsidR="00314EAE" w:rsidRDefault="00314EAE" w:rsidP="0052683C">
      <w:r>
        <w:separator/>
      </w:r>
    </w:p>
  </w:endnote>
  <w:endnote w:type="continuationSeparator" w:id="0">
    <w:p w14:paraId="16B26A85" w14:textId="77777777" w:rsidR="00314EAE" w:rsidRDefault="00314EAE"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645DB0" w:rsidRDefault="00645DB0">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645DB0" w:rsidRDefault="0064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650162EC" w14:textId="77777777" w:rsidR="00A46AAA" w:rsidRDefault="00A46AAA">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013CF325" w14:textId="1D74F519" w:rsidR="00A46AAA" w:rsidRPr="007F0E3B" w:rsidRDefault="0010631D" w:rsidP="007F0E3B">
    <w:pPr>
      <w:pStyle w:val="Footer"/>
      <w:rPr>
        <w:b w:val="0"/>
      </w:rPr>
    </w:pPr>
    <w:r>
      <w:rPr>
        <w:b w:val="0"/>
      </w:rPr>
      <w:t>28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AE34" w14:textId="6CE2FC4C" w:rsidR="00A46AAA" w:rsidRPr="000755DD" w:rsidRDefault="006C33DB" w:rsidP="007F0E3B">
    <w:pPr>
      <w:pStyle w:val="Footer"/>
    </w:pPr>
    <w:fldSimple w:instr=" STYLEREF  &quot;Cover Heading&quot;  \* MERGEFORMAT ">
      <w:r w:rsidR="007A6BE1">
        <w:t>Feedback Report Agriculture and Horticulture</w:t>
      </w:r>
    </w:fldSimple>
    <w:r w:rsidR="00A46AAA">
      <w:tab/>
    </w:r>
    <w:r w:rsidR="00A46AAA">
      <w:fldChar w:fldCharType="begin"/>
    </w:r>
    <w:r w:rsidR="00A46AAA">
      <w:instrText xml:space="preserve"> PAGE   \* MERGEFORMAT </w:instrText>
    </w:r>
    <w:r w:rsidR="00A46AAA">
      <w:fldChar w:fldCharType="separate"/>
    </w:r>
    <w:r w:rsidR="00A46AAA">
      <w:t>i</w:t>
    </w:r>
    <w:r w:rsidR="00A46AAA">
      <w:fldChar w:fldCharType="end"/>
    </w:r>
  </w:p>
  <w:p w14:paraId="43AAF255" w14:textId="2385C3C8" w:rsidR="00A46AAA" w:rsidRPr="007F0E3B" w:rsidRDefault="00A46AAA" w:rsidP="007F0E3B">
    <w:pPr>
      <w:pStyle w:val="Footer"/>
      <w:rPr>
        <w:b w:val="0"/>
      </w:rPr>
    </w:pPr>
    <w:r>
      <w:rPr>
        <w:b w:val="0"/>
      </w:rPr>
      <w:fldChar w:fldCharType="begin"/>
    </w:r>
    <w:r>
      <w:rPr>
        <w:b w:val="0"/>
      </w:rPr>
      <w:instrText xml:space="preserve"> STYLEREF  "Cover Subheading"  \* MERGEFORMAT </w:instrText>
    </w:r>
    <w:r>
      <w:rPr>
        <w:b w:val="0"/>
      </w:rPr>
      <w:fldChar w:fldCharType="separate"/>
    </w:r>
    <w:r w:rsidR="007A6BE1">
      <w:rPr>
        <w:b w:val="0"/>
      </w:rPr>
      <w:t>Feedback provided on draft Phase 1 subject content 28 April 2021</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645DB0" w:rsidRPr="002B7B88" w:rsidRDefault="00645DB0"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D21E" w14:textId="77777777" w:rsidR="00314EAE" w:rsidRDefault="00314EAE" w:rsidP="0052683C">
      <w:r>
        <w:separator/>
      </w:r>
    </w:p>
  </w:footnote>
  <w:footnote w:type="continuationSeparator" w:id="0">
    <w:p w14:paraId="78BBA003" w14:textId="77777777" w:rsidR="00314EAE" w:rsidRDefault="00314EAE"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645DB0" w:rsidRDefault="00262450">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3" o:spid="_x0000_s2050" type="#_x0000_t136" style="position:absolute;margin-left:0;margin-top:0;width:597.1pt;height:70.25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645DB0" w:rsidRDefault="00262450">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4" o:spid="_x0000_s2051" type="#_x0000_t136" style="position:absolute;margin-left:0;margin-top:0;width:598.3pt;height:70.25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645DB0">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645DB0">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645DB0">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645DB0" w:rsidRDefault="00262450"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2" o:spid="_x0000_s2049" type="#_x0000_t136" style="position:absolute;margin-left:0;margin-top:0;width:597.1pt;height:70.25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0B07"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F454" w14:textId="77777777" w:rsidR="00A46AAA" w:rsidRDefault="00262450">
    <w:pPr>
      <w:pStyle w:val="Header"/>
    </w:pPr>
    <w:r>
      <w:rPr>
        <w:noProof/>
      </w:rPr>
      <w:pict w14:anchorId="05FB3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6" o:spid="_x0000_s2062" type="#_x0000_t136" style="position:absolute;margin-left:0;margin-top:0;width:597.1pt;height:70.25pt;rotation:315;z-index:-251588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712D" w14:textId="77777777" w:rsidR="00A46AAA" w:rsidRDefault="00262450">
    <w:pPr>
      <w:pStyle w:val="Header"/>
    </w:pPr>
    <w:r>
      <w:rPr>
        <w:noProof/>
      </w:rPr>
      <w:pict w14:anchorId="11090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7" o:spid="_x0000_s2063" type="#_x0000_t136" style="position:absolute;margin-left:0;margin-top:0;width:598.3pt;height:70.25pt;rotation:315;z-index:-251587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EF4F" w14:textId="77777777" w:rsidR="00A46AAA" w:rsidRDefault="00262450" w:rsidP="00B119AC">
    <w:pPr>
      <w:pStyle w:val="Header"/>
    </w:pPr>
    <w:r>
      <w:rPr>
        <w:noProof/>
      </w:rPr>
      <w:pict w14:anchorId="2322F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5" o:spid="_x0000_s2061" type="#_x0000_t136" style="position:absolute;margin-left:0;margin-top:0;width:597.1pt;height:70.25pt;rotation:315;z-index:-251589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645DB0" w:rsidRDefault="00262450">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9" o:spid="_x0000_s2059" type="#_x0000_t136" style="position:absolute;margin-left:0;margin-top:0;width:597.1pt;height:70.25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645DB0" w:rsidRDefault="00262450">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20" o:spid="_x0000_s2060" type="#_x0000_t136" style="position:absolute;margin-left:0;margin-top:0;width:598.3pt;height:70.25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1D4E9353"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645DB0">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645DB0">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645DB0">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645DB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645DB0" w:rsidRDefault="00262450"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818" o:spid="_x0000_s2058" type="#_x0000_t136" style="position:absolute;margin-left:0;margin-top:0;width:597.1pt;height:70.25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195"/>
    <w:multiLevelType w:val="hybridMultilevel"/>
    <w:tmpl w:val="6688F4E0"/>
    <w:lvl w:ilvl="0" w:tplc="38C6598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B41272"/>
    <w:multiLevelType w:val="hybridMultilevel"/>
    <w:tmpl w:val="42C86D7C"/>
    <w:lvl w:ilvl="0" w:tplc="FFF8675A">
      <w:start w:val="3"/>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FE1C00"/>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1A72EC"/>
    <w:multiLevelType w:val="hybridMultilevel"/>
    <w:tmpl w:val="53D0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064FD1"/>
    <w:multiLevelType w:val="hybridMultilevel"/>
    <w:tmpl w:val="4F0E50C8"/>
    <w:lvl w:ilvl="0" w:tplc="EAE4E33E">
      <w:start w:val="1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8"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B51664"/>
    <w:multiLevelType w:val="hybridMultilevel"/>
    <w:tmpl w:val="C10C713E"/>
    <w:lvl w:ilvl="0" w:tplc="377A933A">
      <w:start w:val="1"/>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836ECA"/>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7EF02A9"/>
    <w:multiLevelType w:val="hybridMultilevel"/>
    <w:tmpl w:val="927ABEF4"/>
    <w:lvl w:ilvl="0" w:tplc="BBC05B5E">
      <w:start w:val="1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3B250D"/>
    <w:multiLevelType w:val="hybridMultilevel"/>
    <w:tmpl w:val="3DBCCE1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3"/>
  </w:num>
  <w:num w:numId="5">
    <w:abstractNumId w:val="3"/>
  </w:num>
  <w:num w:numId="6">
    <w:abstractNumId w:val="4"/>
  </w:num>
  <w:num w:numId="7">
    <w:abstractNumId w:val="1"/>
  </w:num>
  <w:num w:numId="8">
    <w:abstractNumId w:val="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5"/>
  </w:num>
  <w:num w:numId="13">
    <w:abstractNumId w:val="11"/>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146C"/>
    <w:rsid w:val="000042E2"/>
    <w:rsid w:val="000051E8"/>
    <w:rsid w:val="000073D9"/>
    <w:rsid w:val="00007FFD"/>
    <w:rsid w:val="000105FF"/>
    <w:rsid w:val="00011287"/>
    <w:rsid w:val="00012FB5"/>
    <w:rsid w:val="000141F1"/>
    <w:rsid w:val="0001782F"/>
    <w:rsid w:val="0002007F"/>
    <w:rsid w:val="000215EB"/>
    <w:rsid w:val="00021F27"/>
    <w:rsid w:val="00021F4B"/>
    <w:rsid w:val="0002627A"/>
    <w:rsid w:val="000273CB"/>
    <w:rsid w:val="000305DB"/>
    <w:rsid w:val="0003446E"/>
    <w:rsid w:val="00036386"/>
    <w:rsid w:val="00041B36"/>
    <w:rsid w:val="00042337"/>
    <w:rsid w:val="000438CE"/>
    <w:rsid w:val="000439F9"/>
    <w:rsid w:val="00044960"/>
    <w:rsid w:val="00045B99"/>
    <w:rsid w:val="00063536"/>
    <w:rsid w:val="000651DA"/>
    <w:rsid w:val="0006716F"/>
    <w:rsid w:val="00070496"/>
    <w:rsid w:val="00071343"/>
    <w:rsid w:val="0007361A"/>
    <w:rsid w:val="000755DD"/>
    <w:rsid w:val="000762A8"/>
    <w:rsid w:val="00076805"/>
    <w:rsid w:val="00077DFE"/>
    <w:rsid w:val="000800E1"/>
    <w:rsid w:val="000800F5"/>
    <w:rsid w:val="00081613"/>
    <w:rsid w:val="00082C55"/>
    <w:rsid w:val="00083F96"/>
    <w:rsid w:val="00084E40"/>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FE4"/>
    <w:rsid w:val="000D4942"/>
    <w:rsid w:val="000D5457"/>
    <w:rsid w:val="000D69C9"/>
    <w:rsid w:val="000E284D"/>
    <w:rsid w:val="000E38B6"/>
    <w:rsid w:val="000E405D"/>
    <w:rsid w:val="000F1095"/>
    <w:rsid w:val="000F2191"/>
    <w:rsid w:val="000F276D"/>
    <w:rsid w:val="0010164B"/>
    <w:rsid w:val="00102846"/>
    <w:rsid w:val="00104A99"/>
    <w:rsid w:val="0010631D"/>
    <w:rsid w:val="00110173"/>
    <w:rsid w:val="00110729"/>
    <w:rsid w:val="00110766"/>
    <w:rsid w:val="0011252B"/>
    <w:rsid w:val="001150A2"/>
    <w:rsid w:val="001162CE"/>
    <w:rsid w:val="00116A11"/>
    <w:rsid w:val="00116A9C"/>
    <w:rsid w:val="0011709A"/>
    <w:rsid w:val="001225CE"/>
    <w:rsid w:val="00122BB5"/>
    <w:rsid w:val="00123248"/>
    <w:rsid w:val="001237F6"/>
    <w:rsid w:val="00133344"/>
    <w:rsid w:val="00133494"/>
    <w:rsid w:val="00134154"/>
    <w:rsid w:val="0013419C"/>
    <w:rsid w:val="00135B9E"/>
    <w:rsid w:val="00135C7C"/>
    <w:rsid w:val="001376D8"/>
    <w:rsid w:val="00141836"/>
    <w:rsid w:val="00143255"/>
    <w:rsid w:val="001437AB"/>
    <w:rsid w:val="001509C6"/>
    <w:rsid w:val="00152A3B"/>
    <w:rsid w:val="00153929"/>
    <w:rsid w:val="00153C69"/>
    <w:rsid w:val="00154F45"/>
    <w:rsid w:val="0016321A"/>
    <w:rsid w:val="001715CE"/>
    <w:rsid w:val="00172384"/>
    <w:rsid w:val="00174194"/>
    <w:rsid w:val="00174401"/>
    <w:rsid w:val="0017490B"/>
    <w:rsid w:val="00175AA2"/>
    <w:rsid w:val="00176752"/>
    <w:rsid w:val="001771A1"/>
    <w:rsid w:val="00177EF9"/>
    <w:rsid w:val="00183AB3"/>
    <w:rsid w:val="00185374"/>
    <w:rsid w:val="0018667F"/>
    <w:rsid w:val="00191690"/>
    <w:rsid w:val="00192CD2"/>
    <w:rsid w:val="001936D9"/>
    <w:rsid w:val="001950F7"/>
    <w:rsid w:val="00195822"/>
    <w:rsid w:val="00195CD6"/>
    <w:rsid w:val="00197019"/>
    <w:rsid w:val="001A0615"/>
    <w:rsid w:val="001A0AE1"/>
    <w:rsid w:val="001A3420"/>
    <w:rsid w:val="001A3943"/>
    <w:rsid w:val="001A51A0"/>
    <w:rsid w:val="001A5D60"/>
    <w:rsid w:val="001B1D6E"/>
    <w:rsid w:val="001B20BD"/>
    <w:rsid w:val="001B297C"/>
    <w:rsid w:val="001B6392"/>
    <w:rsid w:val="001B7274"/>
    <w:rsid w:val="001B77F7"/>
    <w:rsid w:val="001B7D03"/>
    <w:rsid w:val="001C04B1"/>
    <w:rsid w:val="001C08F1"/>
    <w:rsid w:val="001C0EAB"/>
    <w:rsid w:val="001C1832"/>
    <w:rsid w:val="001C264D"/>
    <w:rsid w:val="001C5FF1"/>
    <w:rsid w:val="001D6228"/>
    <w:rsid w:val="001E1FE1"/>
    <w:rsid w:val="001E223E"/>
    <w:rsid w:val="001E29FC"/>
    <w:rsid w:val="001E2E87"/>
    <w:rsid w:val="001E5999"/>
    <w:rsid w:val="001E7EAE"/>
    <w:rsid w:val="001F19D3"/>
    <w:rsid w:val="001F40A9"/>
    <w:rsid w:val="001F7988"/>
    <w:rsid w:val="002010A7"/>
    <w:rsid w:val="002020F9"/>
    <w:rsid w:val="00202159"/>
    <w:rsid w:val="00203EDD"/>
    <w:rsid w:val="00206E14"/>
    <w:rsid w:val="00207867"/>
    <w:rsid w:val="002105EB"/>
    <w:rsid w:val="00210DE1"/>
    <w:rsid w:val="002149D6"/>
    <w:rsid w:val="00215059"/>
    <w:rsid w:val="0022010B"/>
    <w:rsid w:val="002218D1"/>
    <w:rsid w:val="0022253E"/>
    <w:rsid w:val="0022297A"/>
    <w:rsid w:val="00223552"/>
    <w:rsid w:val="00234317"/>
    <w:rsid w:val="00235F8A"/>
    <w:rsid w:val="00237CE1"/>
    <w:rsid w:val="00240B05"/>
    <w:rsid w:val="0024105D"/>
    <w:rsid w:val="0024195F"/>
    <w:rsid w:val="00243508"/>
    <w:rsid w:val="002437E8"/>
    <w:rsid w:val="002448F9"/>
    <w:rsid w:val="00244A98"/>
    <w:rsid w:val="00244D5B"/>
    <w:rsid w:val="002456ED"/>
    <w:rsid w:val="002503E2"/>
    <w:rsid w:val="00250A2F"/>
    <w:rsid w:val="00255250"/>
    <w:rsid w:val="00260E08"/>
    <w:rsid w:val="00262450"/>
    <w:rsid w:val="00264AF0"/>
    <w:rsid w:val="002666AC"/>
    <w:rsid w:val="00271086"/>
    <w:rsid w:val="002734DE"/>
    <w:rsid w:val="00276886"/>
    <w:rsid w:val="00277B9B"/>
    <w:rsid w:val="00285935"/>
    <w:rsid w:val="00287002"/>
    <w:rsid w:val="00287F5D"/>
    <w:rsid w:val="00296DD2"/>
    <w:rsid w:val="002970BF"/>
    <w:rsid w:val="002A12FD"/>
    <w:rsid w:val="002A132F"/>
    <w:rsid w:val="002A15D4"/>
    <w:rsid w:val="002A2E90"/>
    <w:rsid w:val="002A3A60"/>
    <w:rsid w:val="002B0BAF"/>
    <w:rsid w:val="002B18A9"/>
    <w:rsid w:val="002B3CF1"/>
    <w:rsid w:val="002B4953"/>
    <w:rsid w:val="002B581F"/>
    <w:rsid w:val="002B5D66"/>
    <w:rsid w:val="002B60B8"/>
    <w:rsid w:val="002B7B88"/>
    <w:rsid w:val="002C176A"/>
    <w:rsid w:val="002C24E9"/>
    <w:rsid w:val="002C3D12"/>
    <w:rsid w:val="002C3E2C"/>
    <w:rsid w:val="002D3B2F"/>
    <w:rsid w:val="002D472C"/>
    <w:rsid w:val="002E1F25"/>
    <w:rsid w:val="002E26BF"/>
    <w:rsid w:val="002E3842"/>
    <w:rsid w:val="002E49E3"/>
    <w:rsid w:val="002E68F7"/>
    <w:rsid w:val="002E751E"/>
    <w:rsid w:val="002F0E10"/>
    <w:rsid w:val="002F20DA"/>
    <w:rsid w:val="002F3A96"/>
    <w:rsid w:val="002F40F1"/>
    <w:rsid w:val="002F419E"/>
    <w:rsid w:val="002F4624"/>
    <w:rsid w:val="002F670A"/>
    <w:rsid w:val="002F6CDE"/>
    <w:rsid w:val="00302C2E"/>
    <w:rsid w:val="00314EAE"/>
    <w:rsid w:val="00316FC0"/>
    <w:rsid w:val="00320514"/>
    <w:rsid w:val="00320D31"/>
    <w:rsid w:val="0032329D"/>
    <w:rsid w:val="00323319"/>
    <w:rsid w:val="00327DA5"/>
    <w:rsid w:val="00330532"/>
    <w:rsid w:val="00334CE9"/>
    <w:rsid w:val="003401E5"/>
    <w:rsid w:val="0034086B"/>
    <w:rsid w:val="003434CC"/>
    <w:rsid w:val="00352F48"/>
    <w:rsid w:val="00355EAD"/>
    <w:rsid w:val="00360BAD"/>
    <w:rsid w:val="003628A5"/>
    <w:rsid w:val="0036560E"/>
    <w:rsid w:val="003662B5"/>
    <w:rsid w:val="00366559"/>
    <w:rsid w:val="0037010A"/>
    <w:rsid w:val="00373FBF"/>
    <w:rsid w:val="00374398"/>
    <w:rsid w:val="003760D3"/>
    <w:rsid w:val="0038134C"/>
    <w:rsid w:val="00386BA7"/>
    <w:rsid w:val="0039048A"/>
    <w:rsid w:val="00392D2C"/>
    <w:rsid w:val="00396349"/>
    <w:rsid w:val="003A1833"/>
    <w:rsid w:val="003A2177"/>
    <w:rsid w:val="003A32DB"/>
    <w:rsid w:val="003A3742"/>
    <w:rsid w:val="003A37C3"/>
    <w:rsid w:val="003A6041"/>
    <w:rsid w:val="003A7977"/>
    <w:rsid w:val="003B0270"/>
    <w:rsid w:val="003B29BB"/>
    <w:rsid w:val="003B3D30"/>
    <w:rsid w:val="003B7505"/>
    <w:rsid w:val="003B7FA9"/>
    <w:rsid w:val="003C0D4D"/>
    <w:rsid w:val="003C46F7"/>
    <w:rsid w:val="003C5074"/>
    <w:rsid w:val="003D2BFD"/>
    <w:rsid w:val="003D5BFD"/>
    <w:rsid w:val="003E22D3"/>
    <w:rsid w:val="003E3AF2"/>
    <w:rsid w:val="003F03F1"/>
    <w:rsid w:val="003F61DC"/>
    <w:rsid w:val="004011D8"/>
    <w:rsid w:val="004014B5"/>
    <w:rsid w:val="00401DEE"/>
    <w:rsid w:val="004023F5"/>
    <w:rsid w:val="0040466B"/>
    <w:rsid w:val="0040483B"/>
    <w:rsid w:val="004108B5"/>
    <w:rsid w:val="00415B8F"/>
    <w:rsid w:val="004167C2"/>
    <w:rsid w:val="00421136"/>
    <w:rsid w:val="00421A20"/>
    <w:rsid w:val="00423262"/>
    <w:rsid w:val="0042431F"/>
    <w:rsid w:val="004245B0"/>
    <w:rsid w:val="00426AB4"/>
    <w:rsid w:val="00427DD5"/>
    <w:rsid w:val="00430116"/>
    <w:rsid w:val="0043282C"/>
    <w:rsid w:val="00433729"/>
    <w:rsid w:val="00435093"/>
    <w:rsid w:val="004351C9"/>
    <w:rsid w:val="00435253"/>
    <w:rsid w:val="00435DE9"/>
    <w:rsid w:val="004361F1"/>
    <w:rsid w:val="0043778B"/>
    <w:rsid w:val="00437FCC"/>
    <w:rsid w:val="00441186"/>
    <w:rsid w:val="00442CA6"/>
    <w:rsid w:val="00444F5D"/>
    <w:rsid w:val="00446583"/>
    <w:rsid w:val="00450EE3"/>
    <w:rsid w:val="004523F8"/>
    <w:rsid w:val="0045310C"/>
    <w:rsid w:val="00455BB7"/>
    <w:rsid w:val="00455EC0"/>
    <w:rsid w:val="0045658C"/>
    <w:rsid w:val="00457A07"/>
    <w:rsid w:val="00462FD9"/>
    <w:rsid w:val="00463155"/>
    <w:rsid w:val="004645A2"/>
    <w:rsid w:val="00465B87"/>
    <w:rsid w:val="00466198"/>
    <w:rsid w:val="00466BA8"/>
    <w:rsid w:val="00466FC3"/>
    <w:rsid w:val="00467421"/>
    <w:rsid w:val="00472C90"/>
    <w:rsid w:val="00473071"/>
    <w:rsid w:val="00477631"/>
    <w:rsid w:val="00481AC9"/>
    <w:rsid w:val="00482AA6"/>
    <w:rsid w:val="004845F2"/>
    <w:rsid w:val="00490090"/>
    <w:rsid w:val="0049088B"/>
    <w:rsid w:val="004969A0"/>
    <w:rsid w:val="004A0F64"/>
    <w:rsid w:val="004A2764"/>
    <w:rsid w:val="004A3246"/>
    <w:rsid w:val="004A52B3"/>
    <w:rsid w:val="004A6429"/>
    <w:rsid w:val="004A6F16"/>
    <w:rsid w:val="004A73AE"/>
    <w:rsid w:val="004B2FF4"/>
    <w:rsid w:val="004B304E"/>
    <w:rsid w:val="004B625F"/>
    <w:rsid w:val="004B664F"/>
    <w:rsid w:val="004B689C"/>
    <w:rsid w:val="004C32EA"/>
    <w:rsid w:val="004C54EF"/>
    <w:rsid w:val="004C7FF3"/>
    <w:rsid w:val="004D4576"/>
    <w:rsid w:val="004D66B5"/>
    <w:rsid w:val="004E08DE"/>
    <w:rsid w:val="004E35DB"/>
    <w:rsid w:val="004E64E4"/>
    <w:rsid w:val="004F08A6"/>
    <w:rsid w:val="004F30D1"/>
    <w:rsid w:val="004F34B5"/>
    <w:rsid w:val="004F45C1"/>
    <w:rsid w:val="004F65A2"/>
    <w:rsid w:val="004F7BFC"/>
    <w:rsid w:val="0050018D"/>
    <w:rsid w:val="00502656"/>
    <w:rsid w:val="005026AC"/>
    <w:rsid w:val="00502E27"/>
    <w:rsid w:val="005047E9"/>
    <w:rsid w:val="00506DB5"/>
    <w:rsid w:val="00506EF7"/>
    <w:rsid w:val="005120DB"/>
    <w:rsid w:val="00515DB5"/>
    <w:rsid w:val="005167EF"/>
    <w:rsid w:val="0052091A"/>
    <w:rsid w:val="00524EEA"/>
    <w:rsid w:val="005253F9"/>
    <w:rsid w:val="0052683C"/>
    <w:rsid w:val="005368E5"/>
    <w:rsid w:val="0053743B"/>
    <w:rsid w:val="00541685"/>
    <w:rsid w:val="00542DF0"/>
    <w:rsid w:val="00543BDE"/>
    <w:rsid w:val="00544DD5"/>
    <w:rsid w:val="0054553F"/>
    <w:rsid w:val="0054557F"/>
    <w:rsid w:val="00547186"/>
    <w:rsid w:val="005523CC"/>
    <w:rsid w:val="005529F7"/>
    <w:rsid w:val="005553D0"/>
    <w:rsid w:val="00557C2C"/>
    <w:rsid w:val="00557D1E"/>
    <w:rsid w:val="00560AB0"/>
    <w:rsid w:val="00565956"/>
    <w:rsid w:val="00565BE7"/>
    <w:rsid w:val="005838F5"/>
    <w:rsid w:val="00585278"/>
    <w:rsid w:val="00586788"/>
    <w:rsid w:val="00586946"/>
    <w:rsid w:val="00587E25"/>
    <w:rsid w:val="00587EE2"/>
    <w:rsid w:val="005903A5"/>
    <w:rsid w:val="005922D5"/>
    <w:rsid w:val="00592351"/>
    <w:rsid w:val="00593644"/>
    <w:rsid w:val="00593BF9"/>
    <w:rsid w:val="00593D28"/>
    <w:rsid w:val="00593EA5"/>
    <w:rsid w:val="00594512"/>
    <w:rsid w:val="00595187"/>
    <w:rsid w:val="005966BD"/>
    <w:rsid w:val="005A23F0"/>
    <w:rsid w:val="005B55B0"/>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BC0"/>
    <w:rsid w:val="00602FCF"/>
    <w:rsid w:val="00603AF3"/>
    <w:rsid w:val="00603D49"/>
    <w:rsid w:val="00604573"/>
    <w:rsid w:val="00610D36"/>
    <w:rsid w:val="00611C21"/>
    <w:rsid w:val="00613227"/>
    <w:rsid w:val="00613656"/>
    <w:rsid w:val="00615B53"/>
    <w:rsid w:val="006160D3"/>
    <w:rsid w:val="006163D5"/>
    <w:rsid w:val="00616416"/>
    <w:rsid w:val="006215FE"/>
    <w:rsid w:val="006240A1"/>
    <w:rsid w:val="00625B94"/>
    <w:rsid w:val="0062618E"/>
    <w:rsid w:val="00627119"/>
    <w:rsid w:val="00635BB1"/>
    <w:rsid w:val="006373B2"/>
    <w:rsid w:val="00641D2D"/>
    <w:rsid w:val="00642A69"/>
    <w:rsid w:val="006441F1"/>
    <w:rsid w:val="00645DB0"/>
    <w:rsid w:val="00646159"/>
    <w:rsid w:val="006471B7"/>
    <w:rsid w:val="006558C1"/>
    <w:rsid w:val="00656215"/>
    <w:rsid w:val="00660F59"/>
    <w:rsid w:val="0066135A"/>
    <w:rsid w:val="0066285F"/>
    <w:rsid w:val="006652D1"/>
    <w:rsid w:val="006668AA"/>
    <w:rsid w:val="00666EDA"/>
    <w:rsid w:val="00667DD9"/>
    <w:rsid w:val="00671B43"/>
    <w:rsid w:val="00681587"/>
    <w:rsid w:val="00681D0C"/>
    <w:rsid w:val="006822F3"/>
    <w:rsid w:val="006830A0"/>
    <w:rsid w:val="00683E11"/>
    <w:rsid w:val="006928DB"/>
    <w:rsid w:val="00695917"/>
    <w:rsid w:val="00696340"/>
    <w:rsid w:val="006A533E"/>
    <w:rsid w:val="006A7A2E"/>
    <w:rsid w:val="006B0149"/>
    <w:rsid w:val="006B08C4"/>
    <w:rsid w:val="006B0D6E"/>
    <w:rsid w:val="006B1D98"/>
    <w:rsid w:val="006B38A3"/>
    <w:rsid w:val="006B3E77"/>
    <w:rsid w:val="006B440E"/>
    <w:rsid w:val="006B4C97"/>
    <w:rsid w:val="006C031A"/>
    <w:rsid w:val="006C1079"/>
    <w:rsid w:val="006C12EB"/>
    <w:rsid w:val="006C29FB"/>
    <w:rsid w:val="006C33DB"/>
    <w:rsid w:val="006C49C2"/>
    <w:rsid w:val="006C5F66"/>
    <w:rsid w:val="006C7589"/>
    <w:rsid w:val="006C7E47"/>
    <w:rsid w:val="006E363A"/>
    <w:rsid w:val="006E387D"/>
    <w:rsid w:val="006E576A"/>
    <w:rsid w:val="006E7E5F"/>
    <w:rsid w:val="00701ADD"/>
    <w:rsid w:val="00703374"/>
    <w:rsid w:val="00707D0C"/>
    <w:rsid w:val="00710348"/>
    <w:rsid w:val="00711140"/>
    <w:rsid w:val="00712FDD"/>
    <w:rsid w:val="007147A9"/>
    <w:rsid w:val="00716278"/>
    <w:rsid w:val="007163FC"/>
    <w:rsid w:val="00716E43"/>
    <w:rsid w:val="00720CAD"/>
    <w:rsid w:val="007217FF"/>
    <w:rsid w:val="00721DE9"/>
    <w:rsid w:val="00727D58"/>
    <w:rsid w:val="00734710"/>
    <w:rsid w:val="00734CAA"/>
    <w:rsid w:val="007372AF"/>
    <w:rsid w:val="00742D8D"/>
    <w:rsid w:val="00745BA8"/>
    <w:rsid w:val="007479E5"/>
    <w:rsid w:val="00751B97"/>
    <w:rsid w:val="00753F1B"/>
    <w:rsid w:val="00760146"/>
    <w:rsid w:val="00761DC0"/>
    <w:rsid w:val="00762644"/>
    <w:rsid w:val="00764704"/>
    <w:rsid w:val="007657DE"/>
    <w:rsid w:val="00766775"/>
    <w:rsid w:val="00766991"/>
    <w:rsid w:val="0076700C"/>
    <w:rsid w:val="007672EC"/>
    <w:rsid w:val="00767316"/>
    <w:rsid w:val="0076795E"/>
    <w:rsid w:val="00772FBD"/>
    <w:rsid w:val="00773A2E"/>
    <w:rsid w:val="00784EB0"/>
    <w:rsid w:val="00785ACA"/>
    <w:rsid w:val="007871C1"/>
    <w:rsid w:val="00790A7D"/>
    <w:rsid w:val="007930AF"/>
    <w:rsid w:val="00795ADD"/>
    <w:rsid w:val="007966ED"/>
    <w:rsid w:val="00797931"/>
    <w:rsid w:val="007A01A7"/>
    <w:rsid w:val="007A0BBF"/>
    <w:rsid w:val="007A2A9D"/>
    <w:rsid w:val="007A2C00"/>
    <w:rsid w:val="007A5836"/>
    <w:rsid w:val="007A6BE1"/>
    <w:rsid w:val="007B1038"/>
    <w:rsid w:val="007B15EE"/>
    <w:rsid w:val="007B4856"/>
    <w:rsid w:val="007B77EC"/>
    <w:rsid w:val="007C0FC4"/>
    <w:rsid w:val="007C20FF"/>
    <w:rsid w:val="007C35C8"/>
    <w:rsid w:val="007C3D41"/>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E6122"/>
    <w:rsid w:val="007F0E3B"/>
    <w:rsid w:val="007F1B49"/>
    <w:rsid w:val="007F40D7"/>
    <w:rsid w:val="007F51BD"/>
    <w:rsid w:val="007F5D6E"/>
    <w:rsid w:val="007F7526"/>
    <w:rsid w:val="007F77B9"/>
    <w:rsid w:val="007F7F8D"/>
    <w:rsid w:val="008004A3"/>
    <w:rsid w:val="00800F31"/>
    <w:rsid w:val="00810D03"/>
    <w:rsid w:val="00811143"/>
    <w:rsid w:val="00815FA2"/>
    <w:rsid w:val="0082076C"/>
    <w:rsid w:val="00820F0A"/>
    <w:rsid w:val="00822F99"/>
    <w:rsid w:val="00824555"/>
    <w:rsid w:val="00826B4A"/>
    <w:rsid w:val="0083511C"/>
    <w:rsid w:val="00835343"/>
    <w:rsid w:val="008361C1"/>
    <w:rsid w:val="008373AE"/>
    <w:rsid w:val="00840F19"/>
    <w:rsid w:val="00841555"/>
    <w:rsid w:val="00843923"/>
    <w:rsid w:val="00843B89"/>
    <w:rsid w:val="00843BF3"/>
    <w:rsid w:val="00843D66"/>
    <w:rsid w:val="008463BB"/>
    <w:rsid w:val="00846564"/>
    <w:rsid w:val="0085191E"/>
    <w:rsid w:val="00854964"/>
    <w:rsid w:val="008603C9"/>
    <w:rsid w:val="008714D0"/>
    <w:rsid w:val="00873407"/>
    <w:rsid w:val="00874A9B"/>
    <w:rsid w:val="008751EB"/>
    <w:rsid w:val="00876541"/>
    <w:rsid w:val="00876EC8"/>
    <w:rsid w:val="00877850"/>
    <w:rsid w:val="00877A9A"/>
    <w:rsid w:val="00877D0C"/>
    <w:rsid w:val="008825B7"/>
    <w:rsid w:val="00883B34"/>
    <w:rsid w:val="00883F13"/>
    <w:rsid w:val="00887184"/>
    <w:rsid w:val="0088722F"/>
    <w:rsid w:val="00894EA3"/>
    <w:rsid w:val="00897762"/>
    <w:rsid w:val="008A2595"/>
    <w:rsid w:val="008A3873"/>
    <w:rsid w:val="008A5898"/>
    <w:rsid w:val="008A5AAC"/>
    <w:rsid w:val="008B2CCB"/>
    <w:rsid w:val="008B356F"/>
    <w:rsid w:val="008B7CC4"/>
    <w:rsid w:val="008C0323"/>
    <w:rsid w:val="008C219C"/>
    <w:rsid w:val="008C38F9"/>
    <w:rsid w:val="008C7858"/>
    <w:rsid w:val="008D095C"/>
    <w:rsid w:val="008D1C2A"/>
    <w:rsid w:val="008D1CAA"/>
    <w:rsid w:val="008D7030"/>
    <w:rsid w:val="008E0B7D"/>
    <w:rsid w:val="008E5A31"/>
    <w:rsid w:val="008E5B88"/>
    <w:rsid w:val="008E627B"/>
    <w:rsid w:val="008F1151"/>
    <w:rsid w:val="008F12FC"/>
    <w:rsid w:val="00902131"/>
    <w:rsid w:val="0090502F"/>
    <w:rsid w:val="009058B7"/>
    <w:rsid w:val="00910F99"/>
    <w:rsid w:val="009112AA"/>
    <w:rsid w:val="00911B74"/>
    <w:rsid w:val="00911FC1"/>
    <w:rsid w:val="00912001"/>
    <w:rsid w:val="00912AFC"/>
    <w:rsid w:val="00914AA0"/>
    <w:rsid w:val="009158BF"/>
    <w:rsid w:val="00922C8F"/>
    <w:rsid w:val="00922D27"/>
    <w:rsid w:val="009340D1"/>
    <w:rsid w:val="009376E1"/>
    <w:rsid w:val="009427EC"/>
    <w:rsid w:val="00943CFF"/>
    <w:rsid w:val="00944596"/>
    <w:rsid w:val="0094471F"/>
    <w:rsid w:val="00945C03"/>
    <w:rsid w:val="009479C1"/>
    <w:rsid w:val="009479F2"/>
    <w:rsid w:val="009519FE"/>
    <w:rsid w:val="0095498A"/>
    <w:rsid w:val="00954B4F"/>
    <w:rsid w:val="00964D78"/>
    <w:rsid w:val="00965853"/>
    <w:rsid w:val="00967A48"/>
    <w:rsid w:val="00967B1F"/>
    <w:rsid w:val="00977A74"/>
    <w:rsid w:val="009840D5"/>
    <w:rsid w:val="0098712B"/>
    <w:rsid w:val="0098762B"/>
    <w:rsid w:val="00987CF6"/>
    <w:rsid w:val="00991D11"/>
    <w:rsid w:val="00995B6D"/>
    <w:rsid w:val="00997B10"/>
    <w:rsid w:val="009A031E"/>
    <w:rsid w:val="009A1E5B"/>
    <w:rsid w:val="009A40B7"/>
    <w:rsid w:val="009A510C"/>
    <w:rsid w:val="009A5615"/>
    <w:rsid w:val="009B7327"/>
    <w:rsid w:val="009C44D2"/>
    <w:rsid w:val="009C52BD"/>
    <w:rsid w:val="009D10F3"/>
    <w:rsid w:val="009D1867"/>
    <w:rsid w:val="009D19D5"/>
    <w:rsid w:val="009D4C01"/>
    <w:rsid w:val="009D77A2"/>
    <w:rsid w:val="009E280F"/>
    <w:rsid w:val="009E4AD3"/>
    <w:rsid w:val="009F7484"/>
    <w:rsid w:val="00A016D4"/>
    <w:rsid w:val="00A11309"/>
    <w:rsid w:val="00A11DE0"/>
    <w:rsid w:val="00A1355F"/>
    <w:rsid w:val="00A146DD"/>
    <w:rsid w:val="00A20DB5"/>
    <w:rsid w:val="00A22442"/>
    <w:rsid w:val="00A312CA"/>
    <w:rsid w:val="00A32A86"/>
    <w:rsid w:val="00A37479"/>
    <w:rsid w:val="00A426AB"/>
    <w:rsid w:val="00A4282F"/>
    <w:rsid w:val="00A46417"/>
    <w:rsid w:val="00A46AAA"/>
    <w:rsid w:val="00A47461"/>
    <w:rsid w:val="00A519F8"/>
    <w:rsid w:val="00A52E38"/>
    <w:rsid w:val="00A574A1"/>
    <w:rsid w:val="00A57755"/>
    <w:rsid w:val="00A57AFC"/>
    <w:rsid w:val="00A63748"/>
    <w:rsid w:val="00A64170"/>
    <w:rsid w:val="00A64584"/>
    <w:rsid w:val="00A66C9E"/>
    <w:rsid w:val="00A7024B"/>
    <w:rsid w:val="00A72CCD"/>
    <w:rsid w:val="00A72F44"/>
    <w:rsid w:val="00A72F93"/>
    <w:rsid w:val="00A75269"/>
    <w:rsid w:val="00A81EA6"/>
    <w:rsid w:val="00A86901"/>
    <w:rsid w:val="00A90B69"/>
    <w:rsid w:val="00A943B0"/>
    <w:rsid w:val="00A96E2A"/>
    <w:rsid w:val="00AA17CA"/>
    <w:rsid w:val="00AA2BDB"/>
    <w:rsid w:val="00AA569B"/>
    <w:rsid w:val="00AA6FD2"/>
    <w:rsid w:val="00AA7106"/>
    <w:rsid w:val="00AB101E"/>
    <w:rsid w:val="00AB17C9"/>
    <w:rsid w:val="00AB688E"/>
    <w:rsid w:val="00AB7A4F"/>
    <w:rsid w:val="00AC2B82"/>
    <w:rsid w:val="00AC4726"/>
    <w:rsid w:val="00AC5BA3"/>
    <w:rsid w:val="00AC66DF"/>
    <w:rsid w:val="00AC73C5"/>
    <w:rsid w:val="00AD09C0"/>
    <w:rsid w:val="00AD3D0D"/>
    <w:rsid w:val="00AD4527"/>
    <w:rsid w:val="00AD480B"/>
    <w:rsid w:val="00AD56F3"/>
    <w:rsid w:val="00AD7B2C"/>
    <w:rsid w:val="00AE0043"/>
    <w:rsid w:val="00AE008F"/>
    <w:rsid w:val="00AE028F"/>
    <w:rsid w:val="00AE0DF7"/>
    <w:rsid w:val="00AE20B2"/>
    <w:rsid w:val="00AE2AA7"/>
    <w:rsid w:val="00AE2DFB"/>
    <w:rsid w:val="00AE2F17"/>
    <w:rsid w:val="00AE6B96"/>
    <w:rsid w:val="00AF3B2F"/>
    <w:rsid w:val="00AF4CB1"/>
    <w:rsid w:val="00AF5C2D"/>
    <w:rsid w:val="00B020C4"/>
    <w:rsid w:val="00B06281"/>
    <w:rsid w:val="00B066C1"/>
    <w:rsid w:val="00B10E4C"/>
    <w:rsid w:val="00B110BA"/>
    <w:rsid w:val="00B119AC"/>
    <w:rsid w:val="00B11EEE"/>
    <w:rsid w:val="00B16386"/>
    <w:rsid w:val="00B16C44"/>
    <w:rsid w:val="00B16DE9"/>
    <w:rsid w:val="00B323A3"/>
    <w:rsid w:val="00B34C3B"/>
    <w:rsid w:val="00B40946"/>
    <w:rsid w:val="00B4167E"/>
    <w:rsid w:val="00B4494B"/>
    <w:rsid w:val="00B4506A"/>
    <w:rsid w:val="00B4623D"/>
    <w:rsid w:val="00B4762E"/>
    <w:rsid w:val="00B50DFA"/>
    <w:rsid w:val="00B5188F"/>
    <w:rsid w:val="00B5322C"/>
    <w:rsid w:val="00B53E37"/>
    <w:rsid w:val="00B5636A"/>
    <w:rsid w:val="00B63679"/>
    <w:rsid w:val="00B66175"/>
    <w:rsid w:val="00B661FB"/>
    <w:rsid w:val="00B66202"/>
    <w:rsid w:val="00B66CC1"/>
    <w:rsid w:val="00B67E9D"/>
    <w:rsid w:val="00B7126F"/>
    <w:rsid w:val="00B74E34"/>
    <w:rsid w:val="00B77C68"/>
    <w:rsid w:val="00B808CE"/>
    <w:rsid w:val="00B827A2"/>
    <w:rsid w:val="00B83125"/>
    <w:rsid w:val="00B8743F"/>
    <w:rsid w:val="00B914CC"/>
    <w:rsid w:val="00B91E3E"/>
    <w:rsid w:val="00BA2B49"/>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BF6EA8"/>
    <w:rsid w:val="00C1091D"/>
    <w:rsid w:val="00C12FF7"/>
    <w:rsid w:val="00C147A4"/>
    <w:rsid w:val="00C17E2E"/>
    <w:rsid w:val="00C2184D"/>
    <w:rsid w:val="00C21D54"/>
    <w:rsid w:val="00C23853"/>
    <w:rsid w:val="00C24DA5"/>
    <w:rsid w:val="00C33528"/>
    <w:rsid w:val="00C33FEB"/>
    <w:rsid w:val="00C340A7"/>
    <w:rsid w:val="00C34355"/>
    <w:rsid w:val="00C34D89"/>
    <w:rsid w:val="00C34D98"/>
    <w:rsid w:val="00C351A8"/>
    <w:rsid w:val="00C36819"/>
    <w:rsid w:val="00C41CD4"/>
    <w:rsid w:val="00C43DDB"/>
    <w:rsid w:val="00C44F8B"/>
    <w:rsid w:val="00C477A5"/>
    <w:rsid w:val="00C479F6"/>
    <w:rsid w:val="00C5402B"/>
    <w:rsid w:val="00C54B2A"/>
    <w:rsid w:val="00C55C0E"/>
    <w:rsid w:val="00C55CEF"/>
    <w:rsid w:val="00C56A7D"/>
    <w:rsid w:val="00C57A75"/>
    <w:rsid w:val="00C57B6D"/>
    <w:rsid w:val="00C70D4C"/>
    <w:rsid w:val="00C72F30"/>
    <w:rsid w:val="00C73D00"/>
    <w:rsid w:val="00C763B6"/>
    <w:rsid w:val="00C809DC"/>
    <w:rsid w:val="00C8591D"/>
    <w:rsid w:val="00C92E8F"/>
    <w:rsid w:val="00C970B5"/>
    <w:rsid w:val="00C97C94"/>
    <w:rsid w:val="00CA2EC0"/>
    <w:rsid w:val="00CA37FB"/>
    <w:rsid w:val="00CA3ACD"/>
    <w:rsid w:val="00CA4975"/>
    <w:rsid w:val="00CA5D70"/>
    <w:rsid w:val="00CB0C7A"/>
    <w:rsid w:val="00CB15A2"/>
    <w:rsid w:val="00CB339F"/>
    <w:rsid w:val="00CB5CB2"/>
    <w:rsid w:val="00CB6EDC"/>
    <w:rsid w:val="00CC1161"/>
    <w:rsid w:val="00CC484F"/>
    <w:rsid w:val="00CD0A34"/>
    <w:rsid w:val="00CD1E22"/>
    <w:rsid w:val="00CD2727"/>
    <w:rsid w:val="00CD2A8F"/>
    <w:rsid w:val="00CD4459"/>
    <w:rsid w:val="00CD4A88"/>
    <w:rsid w:val="00CD57D4"/>
    <w:rsid w:val="00CD625B"/>
    <w:rsid w:val="00CE10BE"/>
    <w:rsid w:val="00CE5827"/>
    <w:rsid w:val="00CE708B"/>
    <w:rsid w:val="00CE7492"/>
    <w:rsid w:val="00CF0473"/>
    <w:rsid w:val="00CF5151"/>
    <w:rsid w:val="00CF52E3"/>
    <w:rsid w:val="00CF5464"/>
    <w:rsid w:val="00CF7D81"/>
    <w:rsid w:val="00D04EF6"/>
    <w:rsid w:val="00D058CC"/>
    <w:rsid w:val="00D066AC"/>
    <w:rsid w:val="00D06CC2"/>
    <w:rsid w:val="00D1208B"/>
    <w:rsid w:val="00D166ED"/>
    <w:rsid w:val="00D16AF7"/>
    <w:rsid w:val="00D22908"/>
    <w:rsid w:val="00D23A02"/>
    <w:rsid w:val="00D24033"/>
    <w:rsid w:val="00D249F0"/>
    <w:rsid w:val="00D27496"/>
    <w:rsid w:val="00D31786"/>
    <w:rsid w:val="00D36500"/>
    <w:rsid w:val="00D369A2"/>
    <w:rsid w:val="00D40696"/>
    <w:rsid w:val="00D417D5"/>
    <w:rsid w:val="00D44C2A"/>
    <w:rsid w:val="00D465C8"/>
    <w:rsid w:val="00D51A8B"/>
    <w:rsid w:val="00D51DCA"/>
    <w:rsid w:val="00D536E0"/>
    <w:rsid w:val="00D55250"/>
    <w:rsid w:val="00D568F5"/>
    <w:rsid w:val="00D57B03"/>
    <w:rsid w:val="00D61DD8"/>
    <w:rsid w:val="00D62BE7"/>
    <w:rsid w:val="00D62F62"/>
    <w:rsid w:val="00D64A76"/>
    <w:rsid w:val="00D65D93"/>
    <w:rsid w:val="00D77723"/>
    <w:rsid w:val="00D8291F"/>
    <w:rsid w:val="00D84174"/>
    <w:rsid w:val="00D87460"/>
    <w:rsid w:val="00D87E79"/>
    <w:rsid w:val="00D93577"/>
    <w:rsid w:val="00D95861"/>
    <w:rsid w:val="00DA180B"/>
    <w:rsid w:val="00DA57F1"/>
    <w:rsid w:val="00DA5ED8"/>
    <w:rsid w:val="00DB2346"/>
    <w:rsid w:val="00DB4645"/>
    <w:rsid w:val="00DB4A3A"/>
    <w:rsid w:val="00DB51A9"/>
    <w:rsid w:val="00DB6947"/>
    <w:rsid w:val="00DC09AA"/>
    <w:rsid w:val="00DC3E00"/>
    <w:rsid w:val="00DC4C66"/>
    <w:rsid w:val="00DC5A9A"/>
    <w:rsid w:val="00DC5E64"/>
    <w:rsid w:val="00DC5F6E"/>
    <w:rsid w:val="00DC6860"/>
    <w:rsid w:val="00DC6874"/>
    <w:rsid w:val="00DD077C"/>
    <w:rsid w:val="00DD2763"/>
    <w:rsid w:val="00DD2DFB"/>
    <w:rsid w:val="00DD4827"/>
    <w:rsid w:val="00DD7040"/>
    <w:rsid w:val="00DF139A"/>
    <w:rsid w:val="00DF169F"/>
    <w:rsid w:val="00DF5154"/>
    <w:rsid w:val="00DF5214"/>
    <w:rsid w:val="00DF78E9"/>
    <w:rsid w:val="00E03038"/>
    <w:rsid w:val="00E0461F"/>
    <w:rsid w:val="00E160DE"/>
    <w:rsid w:val="00E20F82"/>
    <w:rsid w:val="00E22316"/>
    <w:rsid w:val="00E22735"/>
    <w:rsid w:val="00E2341D"/>
    <w:rsid w:val="00E26587"/>
    <w:rsid w:val="00E265FD"/>
    <w:rsid w:val="00E34D83"/>
    <w:rsid w:val="00E35D71"/>
    <w:rsid w:val="00E363F3"/>
    <w:rsid w:val="00E42E57"/>
    <w:rsid w:val="00E4579A"/>
    <w:rsid w:val="00E50264"/>
    <w:rsid w:val="00E530F6"/>
    <w:rsid w:val="00E572FC"/>
    <w:rsid w:val="00E60E00"/>
    <w:rsid w:val="00E619F9"/>
    <w:rsid w:val="00E61FF5"/>
    <w:rsid w:val="00E652C4"/>
    <w:rsid w:val="00E65983"/>
    <w:rsid w:val="00E714F8"/>
    <w:rsid w:val="00E733B0"/>
    <w:rsid w:val="00E74CE0"/>
    <w:rsid w:val="00E77825"/>
    <w:rsid w:val="00E8022C"/>
    <w:rsid w:val="00E813E6"/>
    <w:rsid w:val="00E81871"/>
    <w:rsid w:val="00E83D67"/>
    <w:rsid w:val="00E85A6D"/>
    <w:rsid w:val="00E920E5"/>
    <w:rsid w:val="00E95E54"/>
    <w:rsid w:val="00E96A92"/>
    <w:rsid w:val="00E974A2"/>
    <w:rsid w:val="00E97749"/>
    <w:rsid w:val="00E97A95"/>
    <w:rsid w:val="00EA1274"/>
    <w:rsid w:val="00EA2545"/>
    <w:rsid w:val="00EA3802"/>
    <w:rsid w:val="00EA39FF"/>
    <w:rsid w:val="00EA42A2"/>
    <w:rsid w:val="00EA711B"/>
    <w:rsid w:val="00EB1FF2"/>
    <w:rsid w:val="00EB43B2"/>
    <w:rsid w:val="00EB7FE4"/>
    <w:rsid w:val="00EC17FA"/>
    <w:rsid w:val="00EC40AD"/>
    <w:rsid w:val="00EC4EBB"/>
    <w:rsid w:val="00EC53AC"/>
    <w:rsid w:val="00EC75F4"/>
    <w:rsid w:val="00ED030C"/>
    <w:rsid w:val="00ED509C"/>
    <w:rsid w:val="00EE10CE"/>
    <w:rsid w:val="00EE2633"/>
    <w:rsid w:val="00EE26F4"/>
    <w:rsid w:val="00EF29DE"/>
    <w:rsid w:val="00EF54D6"/>
    <w:rsid w:val="00EF6CE8"/>
    <w:rsid w:val="00EF7855"/>
    <w:rsid w:val="00EF7FD0"/>
    <w:rsid w:val="00F017C3"/>
    <w:rsid w:val="00F02B68"/>
    <w:rsid w:val="00F03049"/>
    <w:rsid w:val="00F031C1"/>
    <w:rsid w:val="00F03328"/>
    <w:rsid w:val="00F03693"/>
    <w:rsid w:val="00F036FE"/>
    <w:rsid w:val="00F074CA"/>
    <w:rsid w:val="00F119B8"/>
    <w:rsid w:val="00F13089"/>
    <w:rsid w:val="00F15AF0"/>
    <w:rsid w:val="00F20A23"/>
    <w:rsid w:val="00F22A2A"/>
    <w:rsid w:val="00F23F60"/>
    <w:rsid w:val="00F301E8"/>
    <w:rsid w:val="00F3048F"/>
    <w:rsid w:val="00F34515"/>
    <w:rsid w:val="00F345BF"/>
    <w:rsid w:val="00F412B1"/>
    <w:rsid w:val="00F4194B"/>
    <w:rsid w:val="00F555AE"/>
    <w:rsid w:val="00F557FD"/>
    <w:rsid w:val="00F57A8B"/>
    <w:rsid w:val="00F57F6E"/>
    <w:rsid w:val="00F60430"/>
    <w:rsid w:val="00F64AE8"/>
    <w:rsid w:val="00F665D9"/>
    <w:rsid w:val="00F67286"/>
    <w:rsid w:val="00F67865"/>
    <w:rsid w:val="00F67D8E"/>
    <w:rsid w:val="00F72FBD"/>
    <w:rsid w:val="00F73868"/>
    <w:rsid w:val="00F745D2"/>
    <w:rsid w:val="00F85A52"/>
    <w:rsid w:val="00F903A0"/>
    <w:rsid w:val="00F92594"/>
    <w:rsid w:val="00F959A8"/>
    <w:rsid w:val="00FA0DEE"/>
    <w:rsid w:val="00FA33BC"/>
    <w:rsid w:val="00FA7C8A"/>
    <w:rsid w:val="00FB162F"/>
    <w:rsid w:val="00FB7220"/>
    <w:rsid w:val="00FC34BC"/>
    <w:rsid w:val="00FC3C1B"/>
    <w:rsid w:val="00FC6F2E"/>
    <w:rsid w:val="00FD1FCC"/>
    <w:rsid w:val="00FD226E"/>
    <w:rsid w:val="00FD3956"/>
    <w:rsid w:val="00FD5FC0"/>
    <w:rsid w:val="00FD619D"/>
    <w:rsid w:val="00FD6959"/>
    <w:rsid w:val="00FE1694"/>
    <w:rsid w:val="00FE1A15"/>
    <w:rsid w:val="00FE306E"/>
    <w:rsid w:val="00FE31F2"/>
    <w:rsid w:val="00FE4A21"/>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251310169">
      <w:bodyDiv w:val="1"/>
      <w:marLeft w:val="0"/>
      <w:marRight w:val="0"/>
      <w:marTop w:val="0"/>
      <w:marBottom w:val="0"/>
      <w:divBdr>
        <w:top w:val="none" w:sz="0" w:space="0" w:color="auto"/>
        <w:left w:val="none" w:sz="0" w:space="0" w:color="auto"/>
        <w:bottom w:val="none" w:sz="0" w:space="0" w:color="auto"/>
        <w:right w:val="none" w:sz="0" w:space="0" w:color="auto"/>
      </w:divBdr>
    </w:div>
    <w:div w:id="1423407585">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0FCF-4CCB-9F4B-EDB7E72054CD}"/>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0FCF-4CCB-9F4B-EDB7E72054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MM!$A$2:$A$3</c:f>
              <c:strCache>
                <c:ptCount val="2"/>
                <c:pt idx="0">
                  <c:v>On the right track</c:v>
                </c:pt>
                <c:pt idx="1">
                  <c:v>Needs amendments</c:v>
                </c:pt>
              </c:strCache>
            </c:strRef>
          </c:cat>
          <c:val>
            <c:numRef>
              <c:f>MM!$B$2:$B$3</c:f>
              <c:numCache>
                <c:formatCode>General</c:formatCode>
                <c:ptCount val="2"/>
                <c:pt idx="0">
                  <c:v>11</c:v>
                </c:pt>
                <c:pt idx="1">
                  <c:v>7</c:v>
                </c:pt>
              </c:numCache>
            </c:numRef>
          </c:val>
          <c:extLst>
            <c:ext xmlns:c16="http://schemas.microsoft.com/office/drawing/2014/chart" uri="{C3380CC4-5D6E-409C-BE32-E72D297353CC}">
              <c16:uniqueId val="{00000004-0FCF-4CCB-9F4B-EDB7E72054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987-40E1-97CD-B860C1D959F0}"/>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987-40E1-97CD-B860C1D959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MM!$A$11:$A$12</c:f>
              <c:strCache>
                <c:ptCount val="2"/>
                <c:pt idx="0">
                  <c:v>On the right track</c:v>
                </c:pt>
                <c:pt idx="1">
                  <c:v>Needs amendments</c:v>
                </c:pt>
              </c:strCache>
            </c:strRef>
          </c:cat>
          <c:val>
            <c:numRef>
              <c:f>MM!$B$11:$B$12</c:f>
              <c:numCache>
                <c:formatCode>General</c:formatCode>
                <c:ptCount val="2"/>
                <c:pt idx="0">
                  <c:v>9</c:v>
                </c:pt>
                <c:pt idx="1">
                  <c:v>9</c:v>
                </c:pt>
              </c:numCache>
            </c:numRef>
          </c:val>
          <c:extLst>
            <c:ext xmlns:c16="http://schemas.microsoft.com/office/drawing/2014/chart" uri="{C3380CC4-5D6E-409C-BE32-E72D297353CC}">
              <c16:uniqueId val="{00000004-D987-40E1-97CD-B860C1D959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81D0-448A-BA9C-9A22D940305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81D0-448A-BA9C-9A22D94030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MM!$A$6:$A$7</c:f>
              <c:strCache>
                <c:ptCount val="2"/>
                <c:pt idx="0">
                  <c:v>On the right track</c:v>
                </c:pt>
                <c:pt idx="1">
                  <c:v>Needs amendments</c:v>
                </c:pt>
              </c:strCache>
            </c:strRef>
          </c:cat>
          <c:val>
            <c:numRef>
              <c:f>MM!$B$6:$B$7</c:f>
              <c:numCache>
                <c:formatCode>General</c:formatCode>
                <c:ptCount val="2"/>
                <c:pt idx="0">
                  <c:v>8</c:v>
                </c:pt>
                <c:pt idx="1">
                  <c:v>9</c:v>
                </c:pt>
              </c:numCache>
            </c:numRef>
          </c:val>
          <c:extLst>
            <c:ext xmlns:c16="http://schemas.microsoft.com/office/drawing/2014/chart" uri="{C3380CC4-5D6E-409C-BE32-E72D297353CC}">
              <c16:uniqueId val="{00000004-81D0-448A-BA9C-9A22D940305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2AB-4AC2-B530-CEEB9586501D}"/>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2AB-4AC2-B530-CEEB958650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qus'!$A$11:$A$12</c:f>
              <c:strCache>
                <c:ptCount val="2"/>
                <c:pt idx="0">
                  <c:v>On the right track</c:v>
                </c:pt>
                <c:pt idx="1">
                  <c:v>Needs amendments</c:v>
                </c:pt>
              </c:strCache>
            </c:strRef>
          </c:cat>
          <c:val>
            <c:numRef>
              <c:f>'Gen qus'!$B$11:$B$12</c:f>
              <c:numCache>
                <c:formatCode>General</c:formatCode>
                <c:ptCount val="2"/>
                <c:pt idx="0">
                  <c:v>10</c:v>
                </c:pt>
                <c:pt idx="1">
                  <c:v>10</c:v>
                </c:pt>
              </c:numCache>
            </c:numRef>
          </c:val>
          <c:extLst>
            <c:ext xmlns:c16="http://schemas.microsoft.com/office/drawing/2014/chart" uri="{C3380CC4-5D6E-409C-BE32-E72D297353CC}">
              <c16:uniqueId val="{00000004-62AB-4AC2-B530-CEEB958650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01F-4791-A75B-5C25C25A9C05}"/>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01F-4791-A75B-5C25C25A9C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7</c:v>
                </c:pt>
                <c:pt idx="1">
                  <c:v>12</c:v>
                </c:pt>
              </c:numCache>
            </c:numRef>
          </c:val>
          <c:extLst>
            <c:ext xmlns:c16="http://schemas.microsoft.com/office/drawing/2014/chart" uri="{C3380CC4-5D6E-409C-BE32-E72D297353CC}">
              <c16:uniqueId val="{00000004-301F-4791-A75B-5C25C25A9C0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A03-4606-97CE-0859D8427C0A}"/>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A03-4606-97CE-0859D8427C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9</c:v>
                </c:pt>
                <c:pt idx="1">
                  <c:v>10</c:v>
                </c:pt>
              </c:numCache>
            </c:numRef>
          </c:val>
          <c:extLst>
            <c:ext xmlns:c16="http://schemas.microsoft.com/office/drawing/2014/chart" uri="{C3380CC4-5D6E-409C-BE32-E72D297353CC}">
              <c16:uniqueId val="{00000004-6A03-4606-97CE-0859D8427C0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8</cp:revision>
  <cp:lastPrinted>2021-04-28T03:57:00Z</cp:lastPrinted>
  <dcterms:created xsi:type="dcterms:W3CDTF">2021-04-28T03:53:00Z</dcterms:created>
  <dcterms:modified xsi:type="dcterms:W3CDTF">2021-10-07T20:45:00Z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