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18E9E168" w:rsidR="00A37479" w:rsidRDefault="0036560E" w:rsidP="00876541">
      <w:pPr>
        <w:pStyle w:val="CoverHeading"/>
      </w:pPr>
      <w:r>
        <w:t>Feedback Report</w:t>
      </w:r>
      <w:r w:rsidR="009A40B7">
        <w:t xml:space="preserve"> </w:t>
      </w:r>
      <w:r w:rsidR="00FF5127">
        <w:t>Health Education (with Home Economics)</w:t>
      </w:r>
    </w:p>
    <w:p w14:paraId="72CDDCE2" w14:textId="5704BA46" w:rsidR="00CF5151" w:rsidRPr="00DD4827" w:rsidRDefault="009A40B7" w:rsidP="00876541">
      <w:pPr>
        <w:pStyle w:val="CoverSubheading"/>
        <w:rPr>
          <w:b/>
        </w:rPr>
      </w:pPr>
      <w:r>
        <w:t xml:space="preserve">Feedback provided on draft, Phase 1 products as at </w:t>
      </w:r>
      <w:r w:rsidR="00FF5127">
        <w:t>21 April 2021</w:t>
      </w:r>
    </w:p>
    <w:p w14:paraId="5E9FCE20" w14:textId="77777777" w:rsidR="00DD4827" w:rsidRDefault="00DD4827"/>
    <w:p w14:paraId="33B37D90" w14:textId="77777777" w:rsidR="00DD4827" w:rsidRDefault="00DD4827">
      <w:pPr>
        <w:sectPr w:rsidR="00DD4827"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0224182E" w14:textId="6A6B9592" w:rsidR="00FF5127" w:rsidRPr="001F6C3B" w:rsidRDefault="00FF5127" w:rsidP="00FF5127">
      <w:pPr>
        <w:pStyle w:val="CoverSubheading"/>
      </w:pPr>
      <w:r w:rsidRPr="001F6C3B">
        <w:lastRenderedPageBreak/>
        <w:t>Contents</w:t>
      </w:r>
      <w:r>
        <w:br/>
      </w:r>
    </w:p>
    <w:p w14:paraId="10A5DB52" w14:textId="3CDBC6C4" w:rsidR="00561FC7" w:rsidRDefault="00FF5127">
      <w:pPr>
        <w:pStyle w:val="TOC2"/>
        <w:rPr>
          <w:rFonts w:asciiTheme="minorHAnsi" w:eastAsiaTheme="minorEastAsia" w:hAnsiTheme="minorHAnsi" w:cstheme="minorBidi"/>
          <w:noProof/>
          <w:color w:val="auto"/>
          <w:szCs w:val="22"/>
          <w:lang w:eastAsia="en-NZ"/>
        </w:rPr>
      </w:pPr>
      <w:r w:rsidRPr="001F6C3B">
        <w:rPr>
          <w:rFonts w:cs="Arial"/>
          <w:b/>
          <w:noProof/>
          <w:color w:val="DC291E"/>
          <w:sz w:val="28"/>
          <w:szCs w:val="28"/>
        </w:rPr>
        <w:fldChar w:fldCharType="begin"/>
      </w:r>
      <w:r w:rsidRPr="001F6C3B">
        <w:rPr>
          <w:rFonts w:cs="Arial"/>
        </w:rPr>
        <w:instrText xml:space="preserve"> TOC \o "1-3" \h \z \u </w:instrText>
      </w:r>
      <w:r w:rsidRPr="001F6C3B">
        <w:rPr>
          <w:rFonts w:cs="Arial"/>
          <w:b/>
          <w:noProof/>
          <w:color w:val="DC291E"/>
          <w:sz w:val="28"/>
          <w:szCs w:val="28"/>
        </w:rPr>
        <w:fldChar w:fldCharType="separate"/>
      </w:r>
      <w:hyperlink w:anchor="_Toc84579025" w:history="1">
        <w:r w:rsidR="00561FC7" w:rsidRPr="00523A99">
          <w:rPr>
            <w:rStyle w:val="Hyperlink"/>
            <w:rFonts w:cs="Arial"/>
            <w:noProof/>
          </w:rPr>
          <w:t>Purpose</w:t>
        </w:r>
        <w:r w:rsidR="00561FC7">
          <w:rPr>
            <w:noProof/>
            <w:webHidden/>
          </w:rPr>
          <w:tab/>
        </w:r>
        <w:r w:rsidR="00561FC7">
          <w:rPr>
            <w:noProof/>
            <w:webHidden/>
          </w:rPr>
          <w:fldChar w:fldCharType="begin"/>
        </w:r>
        <w:r w:rsidR="00561FC7">
          <w:rPr>
            <w:noProof/>
            <w:webHidden/>
          </w:rPr>
          <w:instrText xml:space="preserve"> PAGEREF _Toc84579025 \h </w:instrText>
        </w:r>
        <w:r w:rsidR="00561FC7">
          <w:rPr>
            <w:noProof/>
            <w:webHidden/>
          </w:rPr>
        </w:r>
        <w:r w:rsidR="00561FC7">
          <w:rPr>
            <w:noProof/>
            <w:webHidden/>
          </w:rPr>
          <w:fldChar w:fldCharType="separate"/>
        </w:r>
        <w:r w:rsidR="00561FC7">
          <w:rPr>
            <w:noProof/>
            <w:webHidden/>
          </w:rPr>
          <w:t>1</w:t>
        </w:r>
        <w:r w:rsidR="00561FC7">
          <w:rPr>
            <w:noProof/>
            <w:webHidden/>
          </w:rPr>
          <w:fldChar w:fldCharType="end"/>
        </w:r>
      </w:hyperlink>
    </w:p>
    <w:p w14:paraId="45DBA4FE" w14:textId="7FF8D169" w:rsidR="00561FC7" w:rsidRDefault="00561FC7">
      <w:pPr>
        <w:pStyle w:val="TOC2"/>
        <w:rPr>
          <w:rFonts w:asciiTheme="minorHAnsi" w:eastAsiaTheme="minorEastAsia" w:hAnsiTheme="minorHAnsi" w:cstheme="minorBidi"/>
          <w:noProof/>
          <w:color w:val="auto"/>
          <w:szCs w:val="22"/>
          <w:lang w:eastAsia="en-NZ"/>
        </w:rPr>
      </w:pPr>
      <w:hyperlink w:anchor="_Toc84579026" w:history="1">
        <w:r w:rsidRPr="00523A99">
          <w:rPr>
            <w:rStyle w:val="Hyperlink"/>
            <w:rFonts w:cs="Arial"/>
            <w:noProof/>
          </w:rPr>
          <w:t>Background</w:t>
        </w:r>
        <w:r>
          <w:rPr>
            <w:noProof/>
            <w:webHidden/>
          </w:rPr>
          <w:tab/>
        </w:r>
        <w:r>
          <w:rPr>
            <w:noProof/>
            <w:webHidden/>
          </w:rPr>
          <w:fldChar w:fldCharType="begin"/>
        </w:r>
        <w:r>
          <w:rPr>
            <w:noProof/>
            <w:webHidden/>
          </w:rPr>
          <w:instrText xml:space="preserve"> PAGEREF _Toc84579026 \h </w:instrText>
        </w:r>
        <w:r>
          <w:rPr>
            <w:noProof/>
            <w:webHidden/>
          </w:rPr>
        </w:r>
        <w:r>
          <w:rPr>
            <w:noProof/>
            <w:webHidden/>
          </w:rPr>
          <w:fldChar w:fldCharType="separate"/>
        </w:r>
        <w:r>
          <w:rPr>
            <w:noProof/>
            <w:webHidden/>
          </w:rPr>
          <w:t>1</w:t>
        </w:r>
        <w:r>
          <w:rPr>
            <w:noProof/>
            <w:webHidden/>
          </w:rPr>
          <w:fldChar w:fldCharType="end"/>
        </w:r>
      </w:hyperlink>
    </w:p>
    <w:p w14:paraId="165573B3" w14:textId="174ED34B" w:rsidR="00561FC7" w:rsidRDefault="00561FC7">
      <w:pPr>
        <w:pStyle w:val="TOC2"/>
        <w:rPr>
          <w:rFonts w:asciiTheme="minorHAnsi" w:eastAsiaTheme="minorEastAsia" w:hAnsiTheme="minorHAnsi" w:cstheme="minorBidi"/>
          <w:noProof/>
          <w:color w:val="auto"/>
          <w:szCs w:val="22"/>
          <w:lang w:eastAsia="en-NZ"/>
        </w:rPr>
      </w:pPr>
      <w:hyperlink w:anchor="_Toc84579027" w:history="1">
        <w:r w:rsidRPr="00523A99">
          <w:rPr>
            <w:rStyle w:val="Hyperlink"/>
            <w:rFonts w:cs="Arial"/>
            <w:noProof/>
          </w:rPr>
          <w:t>General Overview and Themes</w:t>
        </w:r>
        <w:r>
          <w:rPr>
            <w:noProof/>
            <w:webHidden/>
          </w:rPr>
          <w:tab/>
        </w:r>
        <w:r>
          <w:rPr>
            <w:noProof/>
            <w:webHidden/>
          </w:rPr>
          <w:fldChar w:fldCharType="begin"/>
        </w:r>
        <w:r>
          <w:rPr>
            <w:noProof/>
            <w:webHidden/>
          </w:rPr>
          <w:instrText xml:space="preserve"> PAGEREF _Toc84579027 \h </w:instrText>
        </w:r>
        <w:r>
          <w:rPr>
            <w:noProof/>
            <w:webHidden/>
          </w:rPr>
        </w:r>
        <w:r>
          <w:rPr>
            <w:noProof/>
            <w:webHidden/>
          </w:rPr>
          <w:fldChar w:fldCharType="separate"/>
        </w:r>
        <w:r>
          <w:rPr>
            <w:noProof/>
            <w:webHidden/>
          </w:rPr>
          <w:t>2</w:t>
        </w:r>
        <w:r>
          <w:rPr>
            <w:noProof/>
            <w:webHidden/>
          </w:rPr>
          <w:fldChar w:fldCharType="end"/>
        </w:r>
      </w:hyperlink>
    </w:p>
    <w:p w14:paraId="6744622E" w14:textId="03D91E98" w:rsidR="00561FC7" w:rsidRDefault="00561FC7">
      <w:pPr>
        <w:pStyle w:val="TOC2"/>
        <w:rPr>
          <w:rFonts w:asciiTheme="minorHAnsi" w:eastAsiaTheme="minorEastAsia" w:hAnsiTheme="minorHAnsi" w:cstheme="minorBidi"/>
          <w:noProof/>
          <w:color w:val="auto"/>
          <w:szCs w:val="22"/>
          <w:lang w:eastAsia="en-NZ"/>
        </w:rPr>
      </w:pPr>
      <w:hyperlink w:anchor="_Toc84579028" w:history="1">
        <w:r w:rsidRPr="00523A99">
          <w:rPr>
            <w:rStyle w:val="Hyperlink"/>
            <w:rFonts w:cs="Arial"/>
            <w:noProof/>
          </w:rPr>
          <w:t>Sources of Feedback</w:t>
        </w:r>
        <w:r>
          <w:rPr>
            <w:noProof/>
            <w:webHidden/>
          </w:rPr>
          <w:tab/>
        </w:r>
        <w:r>
          <w:rPr>
            <w:noProof/>
            <w:webHidden/>
          </w:rPr>
          <w:fldChar w:fldCharType="begin"/>
        </w:r>
        <w:r>
          <w:rPr>
            <w:noProof/>
            <w:webHidden/>
          </w:rPr>
          <w:instrText xml:space="preserve"> PAGEREF _Toc84579028 \h </w:instrText>
        </w:r>
        <w:r>
          <w:rPr>
            <w:noProof/>
            <w:webHidden/>
          </w:rPr>
        </w:r>
        <w:r>
          <w:rPr>
            <w:noProof/>
            <w:webHidden/>
          </w:rPr>
          <w:fldChar w:fldCharType="separate"/>
        </w:r>
        <w:r>
          <w:rPr>
            <w:noProof/>
            <w:webHidden/>
          </w:rPr>
          <w:t>5</w:t>
        </w:r>
        <w:r>
          <w:rPr>
            <w:noProof/>
            <w:webHidden/>
          </w:rPr>
          <w:fldChar w:fldCharType="end"/>
        </w:r>
      </w:hyperlink>
    </w:p>
    <w:p w14:paraId="45777BD7" w14:textId="787B58ED" w:rsidR="00561FC7" w:rsidRDefault="00561FC7">
      <w:pPr>
        <w:pStyle w:val="TOC2"/>
        <w:rPr>
          <w:rFonts w:asciiTheme="minorHAnsi" w:eastAsiaTheme="minorEastAsia" w:hAnsiTheme="minorHAnsi" w:cstheme="minorBidi"/>
          <w:noProof/>
          <w:color w:val="auto"/>
          <w:szCs w:val="22"/>
          <w:lang w:eastAsia="en-NZ"/>
        </w:rPr>
      </w:pPr>
      <w:hyperlink w:anchor="_Toc84579029" w:history="1">
        <w:r w:rsidRPr="00523A99">
          <w:rPr>
            <w:rStyle w:val="Hyperlink"/>
            <w:rFonts w:cs="Arial"/>
            <w:noProof/>
          </w:rPr>
          <w:t>Next Steps</w:t>
        </w:r>
        <w:r>
          <w:rPr>
            <w:noProof/>
            <w:webHidden/>
          </w:rPr>
          <w:tab/>
        </w:r>
        <w:r>
          <w:rPr>
            <w:noProof/>
            <w:webHidden/>
          </w:rPr>
          <w:fldChar w:fldCharType="begin"/>
        </w:r>
        <w:r>
          <w:rPr>
            <w:noProof/>
            <w:webHidden/>
          </w:rPr>
          <w:instrText xml:space="preserve"> PAGEREF _Toc84579029 \h </w:instrText>
        </w:r>
        <w:r>
          <w:rPr>
            <w:noProof/>
            <w:webHidden/>
          </w:rPr>
        </w:r>
        <w:r>
          <w:rPr>
            <w:noProof/>
            <w:webHidden/>
          </w:rPr>
          <w:fldChar w:fldCharType="separate"/>
        </w:r>
        <w:r>
          <w:rPr>
            <w:noProof/>
            <w:webHidden/>
          </w:rPr>
          <w:t>9</w:t>
        </w:r>
        <w:r>
          <w:rPr>
            <w:noProof/>
            <w:webHidden/>
          </w:rPr>
          <w:fldChar w:fldCharType="end"/>
        </w:r>
      </w:hyperlink>
    </w:p>
    <w:p w14:paraId="513AB206" w14:textId="13D6CDFC" w:rsidR="00FF5127" w:rsidRPr="001F6C3B" w:rsidRDefault="00FF5127" w:rsidP="00FF5127">
      <w:pPr>
        <w:pStyle w:val="BodyText"/>
        <w:rPr>
          <w:rFonts w:cs="Arial"/>
        </w:rPr>
      </w:pPr>
      <w:r w:rsidRPr="001F6C3B">
        <w:rPr>
          <w:rFonts w:cs="Arial"/>
        </w:rPr>
        <w:fldChar w:fldCharType="end"/>
      </w:r>
    </w:p>
    <w:p w14:paraId="53CC5F27" w14:textId="77777777" w:rsidR="00FF5127" w:rsidRPr="001F6C3B" w:rsidRDefault="00FF5127" w:rsidP="00FF5127">
      <w:pPr>
        <w:pStyle w:val="BodyText"/>
        <w:rPr>
          <w:rFonts w:cs="Arial"/>
        </w:rPr>
      </w:pPr>
    </w:p>
    <w:p w14:paraId="626B463D" w14:textId="77777777" w:rsidR="00FF5127" w:rsidRPr="001F6C3B" w:rsidRDefault="00FF5127" w:rsidP="00FF5127">
      <w:pPr>
        <w:pStyle w:val="Heading2"/>
        <w:spacing w:before="40" w:after="200" w:line="276" w:lineRule="auto"/>
        <w:jc w:val="both"/>
        <w:rPr>
          <w:rFonts w:cs="Arial"/>
        </w:rPr>
      </w:pPr>
      <w:bookmarkStart w:id="0" w:name="_Toc47110533"/>
      <w:bookmarkStart w:id="1" w:name="_Toc84579025"/>
      <w:r w:rsidRPr="001F6C3B">
        <w:rPr>
          <w:rFonts w:cs="Arial"/>
        </w:rPr>
        <w:t>Purpose</w:t>
      </w:r>
      <w:bookmarkEnd w:id="0"/>
      <w:bookmarkEnd w:id="1"/>
      <w:r w:rsidRPr="001F6C3B">
        <w:rPr>
          <w:rFonts w:cs="Arial"/>
        </w:rPr>
        <w:t xml:space="preserve"> </w:t>
      </w:r>
    </w:p>
    <w:p w14:paraId="487281A7" w14:textId="1D310E50" w:rsidR="00FF5127" w:rsidRPr="001F6C3B" w:rsidRDefault="00FF5127" w:rsidP="00FF5127">
      <w:pPr>
        <w:spacing w:before="40" w:after="200" w:line="276" w:lineRule="auto"/>
        <w:jc w:val="both"/>
        <w:rPr>
          <w:rFonts w:cs="Arial"/>
        </w:rPr>
      </w:pPr>
      <w:bookmarkStart w:id="2" w:name="_Toc47110534"/>
      <w:r w:rsidRPr="001F6C3B">
        <w:rPr>
          <w:rFonts w:cs="Arial"/>
        </w:rPr>
        <w:t>This report outlines the feedback received by the Ministry of Education (the Ministry) on the Phase 1 development of Level 1 materials for Health Education (with Home Economics). It aims to identify common themes and trends across the feedback.  This report will be used to inform any necessary changes to the products developed so far</w:t>
      </w:r>
      <w:r w:rsidR="00B1276A">
        <w:rPr>
          <w:rFonts w:cs="Arial"/>
        </w:rPr>
        <w:t>,</w:t>
      </w:r>
      <w:r w:rsidRPr="001F6C3B">
        <w:rPr>
          <w:rFonts w:cs="Arial"/>
        </w:rPr>
        <w:t xml:space="preserve"> as well as the further development of Phase 2 materials by the Subject Expert Groups (SEGs) as part of the Review of Achievement Standards (RAS).</w:t>
      </w:r>
    </w:p>
    <w:p w14:paraId="6BE4C84B" w14:textId="77777777" w:rsidR="00FF5127" w:rsidRPr="001F6C3B" w:rsidRDefault="00FF5127" w:rsidP="00FF5127">
      <w:pPr>
        <w:pStyle w:val="Heading2"/>
        <w:jc w:val="both"/>
        <w:rPr>
          <w:rFonts w:cs="Arial"/>
        </w:rPr>
      </w:pPr>
      <w:bookmarkStart w:id="3" w:name="_Toc84579026"/>
      <w:r w:rsidRPr="001F6C3B">
        <w:rPr>
          <w:rFonts w:cs="Arial"/>
        </w:rPr>
        <w:t>Background</w:t>
      </w:r>
      <w:bookmarkEnd w:id="2"/>
      <w:bookmarkEnd w:id="3"/>
    </w:p>
    <w:p w14:paraId="42E4E347" w14:textId="18788A64" w:rsidR="00FF5127" w:rsidRPr="001F6C3B" w:rsidRDefault="00FF5127" w:rsidP="00FF5127">
      <w:pPr>
        <w:numPr>
          <w:ilvl w:val="0"/>
          <w:numId w:val="4"/>
        </w:numPr>
        <w:spacing w:before="40" w:after="200" w:line="276" w:lineRule="auto"/>
        <w:ind w:left="567" w:hanging="567"/>
        <w:jc w:val="both"/>
        <w:rPr>
          <w:rFonts w:cs="Arial"/>
        </w:rPr>
      </w:pPr>
      <w:r w:rsidRPr="001F6C3B">
        <w:rPr>
          <w:rFonts w:cs="Arial"/>
        </w:rPr>
        <w:t xml:space="preserve">The Ministry received </w:t>
      </w:r>
      <w:r w:rsidR="00DC065C">
        <w:rPr>
          <w:rFonts w:cs="Arial"/>
        </w:rPr>
        <w:t>83</w:t>
      </w:r>
      <w:r w:rsidRPr="001F6C3B">
        <w:rPr>
          <w:rFonts w:cs="Arial"/>
        </w:rPr>
        <w:t xml:space="preserve"> responses to its online survey about the materials developed so far for Health Education (with Home Economics). These included both multiple choice answer questions and long form, written response questions.</w:t>
      </w:r>
    </w:p>
    <w:p w14:paraId="61EFE259" w14:textId="77777777" w:rsidR="00FF5127" w:rsidRPr="001F6C3B" w:rsidRDefault="00FF5127" w:rsidP="00FF5127">
      <w:pPr>
        <w:numPr>
          <w:ilvl w:val="0"/>
          <w:numId w:val="4"/>
        </w:numPr>
        <w:spacing w:before="40" w:after="200" w:line="276" w:lineRule="auto"/>
        <w:ind w:left="567" w:hanging="567"/>
        <w:jc w:val="both"/>
        <w:rPr>
          <w:rFonts w:cs="Arial"/>
        </w:rPr>
      </w:pPr>
      <w:r w:rsidRPr="001F6C3B">
        <w:rPr>
          <w:rFonts w:cs="Arial"/>
        </w:rPr>
        <w:t>The Ministry also conducted Focus Group meetings with members of the education sector who provided feedback on the draft products.</w:t>
      </w:r>
    </w:p>
    <w:p w14:paraId="4ACB5C14" w14:textId="6CD6B038" w:rsidR="00FF5127" w:rsidRPr="001F6C3B" w:rsidRDefault="00FF5127" w:rsidP="00FF5127">
      <w:pPr>
        <w:numPr>
          <w:ilvl w:val="0"/>
          <w:numId w:val="4"/>
        </w:numPr>
        <w:spacing w:before="40" w:after="200" w:line="276" w:lineRule="auto"/>
        <w:ind w:left="567" w:hanging="567"/>
        <w:jc w:val="both"/>
        <w:rPr>
          <w:rFonts w:cs="Arial"/>
        </w:rPr>
      </w:pPr>
      <w:r w:rsidRPr="001F6C3B">
        <w:rPr>
          <w:rFonts w:cs="Arial"/>
        </w:rPr>
        <w:t>Feedback for Health Education (with Home Economics) was received from the Māori, Pacific, Pathways, and Disability and Learning Support NCEA panels.</w:t>
      </w:r>
    </w:p>
    <w:p w14:paraId="4BC5214A" w14:textId="77777777" w:rsidR="00FF5127" w:rsidRPr="001F6C3B" w:rsidRDefault="00FF5127" w:rsidP="00FF5127">
      <w:pPr>
        <w:numPr>
          <w:ilvl w:val="0"/>
          <w:numId w:val="4"/>
        </w:numPr>
        <w:spacing w:before="40" w:after="200" w:line="276" w:lineRule="auto"/>
        <w:ind w:left="567" w:hanging="567"/>
        <w:jc w:val="both"/>
        <w:rPr>
          <w:rFonts w:cs="Arial"/>
        </w:rPr>
      </w:pPr>
      <w:r w:rsidRPr="001F6C3B">
        <w:rPr>
          <w:rFonts w:cs="Arial"/>
        </w:rPr>
        <w:t>This report is divided into the following:</w:t>
      </w:r>
    </w:p>
    <w:p w14:paraId="649AEEEB" w14:textId="77777777" w:rsidR="00FF5127" w:rsidRPr="001F6C3B" w:rsidRDefault="00FF5127" w:rsidP="00FF5127">
      <w:pPr>
        <w:numPr>
          <w:ilvl w:val="1"/>
          <w:numId w:val="4"/>
        </w:numPr>
        <w:spacing w:before="40" w:after="200" w:line="276" w:lineRule="auto"/>
        <w:jc w:val="both"/>
        <w:rPr>
          <w:rFonts w:cs="Arial"/>
        </w:rPr>
      </w:pPr>
      <w:r w:rsidRPr="001F6C3B">
        <w:rPr>
          <w:rFonts w:cs="Arial"/>
        </w:rPr>
        <w:t>General Overview and Themes</w:t>
      </w:r>
    </w:p>
    <w:p w14:paraId="26CCA1D0" w14:textId="77777777" w:rsidR="00FF5127" w:rsidRPr="001F6C3B" w:rsidRDefault="00FF5127" w:rsidP="00FF5127">
      <w:pPr>
        <w:numPr>
          <w:ilvl w:val="1"/>
          <w:numId w:val="4"/>
        </w:numPr>
        <w:spacing w:before="40" w:after="200" w:line="276" w:lineRule="auto"/>
        <w:jc w:val="both"/>
        <w:rPr>
          <w:rFonts w:cs="Arial"/>
        </w:rPr>
      </w:pPr>
      <w:r w:rsidRPr="001F6C3B">
        <w:rPr>
          <w:rFonts w:cs="Arial"/>
        </w:rPr>
        <w:t>Analysis of Feedback by source</w:t>
      </w:r>
    </w:p>
    <w:p w14:paraId="13686662" w14:textId="77777777" w:rsidR="00FF5127" w:rsidRPr="001F6C3B" w:rsidRDefault="00FF5127" w:rsidP="00FF5127">
      <w:pPr>
        <w:numPr>
          <w:ilvl w:val="2"/>
          <w:numId w:val="4"/>
        </w:numPr>
        <w:spacing w:before="40" w:after="200" w:line="276" w:lineRule="auto"/>
        <w:jc w:val="both"/>
        <w:rPr>
          <w:rFonts w:cs="Arial"/>
        </w:rPr>
      </w:pPr>
      <w:r w:rsidRPr="001F6C3B">
        <w:rPr>
          <w:rFonts w:cs="Arial"/>
        </w:rPr>
        <w:t>Online</w:t>
      </w:r>
    </w:p>
    <w:p w14:paraId="272C6B76" w14:textId="77777777" w:rsidR="00FF5127" w:rsidRPr="001F6C3B" w:rsidRDefault="00FF5127" w:rsidP="00FF5127">
      <w:pPr>
        <w:numPr>
          <w:ilvl w:val="2"/>
          <w:numId w:val="4"/>
        </w:numPr>
        <w:spacing w:before="40" w:after="200" w:line="276" w:lineRule="auto"/>
        <w:jc w:val="both"/>
        <w:rPr>
          <w:rFonts w:cs="Arial"/>
        </w:rPr>
      </w:pPr>
      <w:r w:rsidRPr="001F6C3B">
        <w:rPr>
          <w:rFonts w:cs="Arial"/>
        </w:rPr>
        <w:t>Focus Group</w:t>
      </w:r>
    </w:p>
    <w:p w14:paraId="6E2347A2" w14:textId="77777777" w:rsidR="00FF5127" w:rsidRPr="001F6C3B" w:rsidRDefault="00FF5127" w:rsidP="00FF5127">
      <w:pPr>
        <w:numPr>
          <w:ilvl w:val="2"/>
          <w:numId w:val="4"/>
        </w:numPr>
        <w:spacing w:before="40" w:after="200" w:line="276" w:lineRule="auto"/>
        <w:jc w:val="both"/>
        <w:rPr>
          <w:rFonts w:cs="Arial"/>
        </w:rPr>
      </w:pPr>
      <w:r w:rsidRPr="001F6C3B">
        <w:rPr>
          <w:rFonts w:cs="Arial"/>
        </w:rPr>
        <w:t>NCEA Panels</w:t>
      </w:r>
    </w:p>
    <w:p w14:paraId="7E8391EE" w14:textId="77777777" w:rsidR="00FF5127" w:rsidRPr="001F6C3B" w:rsidRDefault="00FF5127" w:rsidP="00FF5127">
      <w:pPr>
        <w:numPr>
          <w:ilvl w:val="1"/>
          <w:numId w:val="4"/>
        </w:numPr>
        <w:spacing w:before="40" w:after="200" w:line="276" w:lineRule="auto"/>
        <w:jc w:val="both"/>
        <w:rPr>
          <w:rFonts w:cs="Arial"/>
        </w:rPr>
      </w:pPr>
      <w:r w:rsidRPr="001F6C3B">
        <w:rPr>
          <w:rFonts w:cs="Arial"/>
        </w:rPr>
        <w:t>Next steps</w:t>
      </w:r>
    </w:p>
    <w:p w14:paraId="18825318" w14:textId="77777777" w:rsidR="00FF5127" w:rsidRPr="001F6C3B" w:rsidRDefault="00FF5127" w:rsidP="00FF5127">
      <w:pPr>
        <w:numPr>
          <w:ilvl w:val="0"/>
          <w:numId w:val="4"/>
        </w:numPr>
        <w:spacing w:before="40" w:after="200" w:line="276" w:lineRule="auto"/>
        <w:ind w:left="567" w:hanging="567"/>
        <w:jc w:val="both"/>
        <w:rPr>
          <w:rFonts w:cs="Arial"/>
        </w:rPr>
      </w:pPr>
      <w:r w:rsidRPr="001F6C3B">
        <w:rPr>
          <w:rFonts w:cs="Arial"/>
        </w:rPr>
        <w:t>Please note that the content in this report does not reflect the opinions of the authors. The report aims to thoroughly and accurately reflect the views presented by those who fed back on the draft products.</w:t>
      </w:r>
    </w:p>
    <w:p w14:paraId="5ABA8E78" w14:textId="77777777" w:rsidR="00FF5127" w:rsidRPr="001F6C3B" w:rsidRDefault="00FF5127" w:rsidP="00FF5127">
      <w:pPr>
        <w:pStyle w:val="Heading2"/>
        <w:jc w:val="both"/>
        <w:rPr>
          <w:rFonts w:cs="Arial"/>
        </w:rPr>
      </w:pPr>
      <w:bookmarkStart w:id="4" w:name="_Toc47110535"/>
      <w:bookmarkStart w:id="5" w:name="_Toc84579027"/>
      <w:r w:rsidRPr="001F6C3B">
        <w:rPr>
          <w:rFonts w:cs="Arial"/>
        </w:rPr>
        <w:lastRenderedPageBreak/>
        <w:t>General Overview</w:t>
      </w:r>
      <w:bookmarkEnd w:id="4"/>
      <w:r w:rsidRPr="001F6C3B">
        <w:rPr>
          <w:rFonts w:cs="Arial"/>
        </w:rPr>
        <w:t xml:space="preserve"> and Themes</w:t>
      </w:r>
      <w:bookmarkEnd w:id="5"/>
    </w:p>
    <w:p w14:paraId="66982475" w14:textId="1F6D267B" w:rsidR="00460463" w:rsidRDefault="00460463" w:rsidP="00A21D89">
      <w:pPr>
        <w:pStyle w:val="BodyText"/>
        <w:numPr>
          <w:ilvl w:val="0"/>
          <w:numId w:val="44"/>
        </w:numPr>
        <w:ind w:left="426"/>
        <w:rPr>
          <w:rFonts w:cs="Arial"/>
          <w:b/>
          <w:bCs/>
          <w:i/>
          <w:iCs/>
          <w:sz w:val="22"/>
          <w:szCs w:val="22"/>
        </w:rPr>
      </w:pPr>
      <w:r w:rsidRPr="00843FBA">
        <w:rPr>
          <w:rFonts w:cs="Arial"/>
          <w:b/>
          <w:bCs/>
          <w:i/>
          <w:iCs/>
          <w:sz w:val="22"/>
          <w:szCs w:val="22"/>
        </w:rPr>
        <w:t>Inclusion</w:t>
      </w:r>
      <w:r w:rsidR="00843FBA" w:rsidRPr="00843FBA">
        <w:rPr>
          <w:rFonts w:cs="Arial"/>
          <w:b/>
          <w:bCs/>
          <w:i/>
          <w:iCs/>
          <w:sz w:val="22"/>
          <w:szCs w:val="22"/>
        </w:rPr>
        <w:t xml:space="preserve"> of mātauranga Māori</w:t>
      </w:r>
    </w:p>
    <w:p w14:paraId="63C96636" w14:textId="18B6F261" w:rsidR="00B1276A" w:rsidRDefault="00C2660C" w:rsidP="00A21D89">
      <w:pPr>
        <w:pStyle w:val="BodyText"/>
        <w:ind w:left="426"/>
        <w:rPr>
          <w:rFonts w:cs="Arial"/>
          <w:sz w:val="22"/>
          <w:szCs w:val="22"/>
        </w:rPr>
      </w:pPr>
      <w:r>
        <w:rPr>
          <w:rFonts w:cs="Arial"/>
          <w:sz w:val="22"/>
          <w:szCs w:val="22"/>
        </w:rPr>
        <w:t>There was b</w:t>
      </w:r>
      <w:r w:rsidRPr="00FF5127">
        <w:rPr>
          <w:rFonts w:cs="Arial"/>
          <w:sz w:val="22"/>
          <w:szCs w:val="22"/>
        </w:rPr>
        <w:t xml:space="preserve">road support for use of Māori concepts and kupu in </w:t>
      </w:r>
      <w:r>
        <w:rPr>
          <w:rFonts w:cs="Arial"/>
          <w:sz w:val="22"/>
          <w:szCs w:val="22"/>
        </w:rPr>
        <w:t>the Health Education (with Home Economics) draft materials, and a</w:t>
      </w:r>
      <w:r w:rsidRPr="00FF5127">
        <w:rPr>
          <w:rFonts w:cs="Arial"/>
          <w:sz w:val="22"/>
          <w:szCs w:val="22"/>
        </w:rPr>
        <w:t>pproval of how the concept of hauora has been incorporated</w:t>
      </w:r>
      <w:r>
        <w:rPr>
          <w:rFonts w:cs="Arial"/>
          <w:sz w:val="22"/>
          <w:szCs w:val="22"/>
        </w:rPr>
        <w:t xml:space="preserve">. </w:t>
      </w:r>
    </w:p>
    <w:p w14:paraId="34645558" w14:textId="77777777" w:rsidR="00B1276A" w:rsidRDefault="00C2660C" w:rsidP="00C2660C">
      <w:pPr>
        <w:pStyle w:val="BodyText"/>
        <w:ind w:left="720"/>
        <w:rPr>
          <w:rFonts w:cs="Arial"/>
          <w:sz w:val="22"/>
          <w:szCs w:val="22"/>
        </w:rPr>
      </w:pPr>
      <w:r>
        <w:rPr>
          <w:rFonts w:cs="Arial"/>
          <w:sz w:val="22"/>
          <w:szCs w:val="22"/>
        </w:rPr>
        <w:t>“</w:t>
      </w:r>
      <w:r w:rsidRPr="00E56AB4">
        <w:rPr>
          <w:rFonts w:cs="Arial"/>
          <w:sz w:val="22"/>
          <w:szCs w:val="22"/>
        </w:rPr>
        <w:t>The matrix and the theme of Hauora shows a clear link to mātauranga Māori</w:t>
      </w:r>
      <w:r>
        <w:rPr>
          <w:rFonts w:cs="Arial"/>
          <w:sz w:val="22"/>
          <w:szCs w:val="22"/>
        </w:rPr>
        <w:t xml:space="preserve">” </w:t>
      </w:r>
    </w:p>
    <w:p w14:paraId="12540442" w14:textId="3D7D39E5" w:rsidR="00C2660C" w:rsidRDefault="00C2660C" w:rsidP="00C2660C">
      <w:pPr>
        <w:pStyle w:val="BodyText"/>
        <w:ind w:left="720"/>
        <w:rPr>
          <w:rFonts w:cs="Arial"/>
          <w:sz w:val="22"/>
          <w:szCs w:val="22"/>
        </w:rPr>
      </w:pPr>
      <w:r>
        <w:rPr>
          <w:rFonts w:cs="Arial"/>
          <w:sz w:val="22"/>
          <w:szCs w:val="22"/>
        </w:rPr>
        <w:t>“</w:t>
      </w:r>
      <w:r w:rsidRPr="00C2660C">
        <w:rPr>
          <w:rFonts w:cs="Arial"/>
          <w:sz w:val="22"/>
          <w:szCs w:val="22"/>
        </w:rPr>
        <w:t>Holistically, I really like the inclusions and it fits well in this subject area. It is connected in an authentic way, adding depth and value to the subject</w:t>
      </w:r>
      <w:r>
        <w:rPr>
          <w:rFonts w:cs="Arial"/>
          <w:sz w:val="22"/>
          <w:szCs w:val="22"/>
        </w:rPr>
        <w:t>.”</w:t>
      </w:r>
      <w:r w:rsidRPr="00C2660C">
        <w:rPr>
          <w:rFonts w:cs="Arial"/>
          <w:sz w:val="22"/>
          <w:szCs w:val="22"/>
        </w:rPr>
        <w:t>.</w:t>
      </w:r>
    </w:p>
    <w:p w14:paraId="45F37C37" w14:textId="59440EB3" w:rsidR="00C2660C" w:rsidRDefault="00C2660C" w:rsidP="00A21D89">
      <w:pPr>
        <w:pStyle w:val="BodyText"/>
        <w:ind w:left="426"/>
        <w:rPr>
          <w:rFonts w:cs="Arial"/>
          <w:sz w:val="22"/>
          <w:szCs w:val="22"/>
        </w:rPr>
      </w:pPr>
      <w:r>
        <w:rPr>
          <w:rFonts w:cs="Arial"/>
          <w:sz w:val="22"/>
          <w:szCs w:val="22"/>
        </w:rPr>
        <w:t xml:space="preserve">However, there were comments from some stakeholders that the </w:t>
      </w:r>
      <w:r w:rsidRPr="00FF5127">
        <w:rPr>
          <w:rFonts w:cs="Arial"/>
          <w:sz w:val="22"/>
          <w:szCs w:val="22"/>
        </w:rPr>
        <w:t xml:space="preserve">Learning Matrix </w:t>
      </w:r>
      <w:r>
        <w:rPr>
          <w:rFonts w:cs="Arial"/>
          <w:sz w:val="22"/>
          <w:szCs w:val="22"/>
        </w:rPr>
        <w:t xml:space="preserve">includes kupu Māori and mātauranga Māori in a superficial way, and its </w:t>
      </w:r>
      <w:r w:rsidRPr="00843FBA">
        <w:rPr>
          <w:rFonts w:cs="Arial"/>
          <w:sz w:val="22"/>
          <w:szCs w:val="22"/>
        </w:rPr>
        <w:t xml:space="preserve">content doesn’t link to the </w:t>
      </w:r>
      <w:r w:rsidR="00371DF6">
        <w:rPr>
          <w:rFonts w:cs="Arial"/>
          <w:sz w:val="22"/>
          <w:szCs w:val="22"/>
        </w:rPr>
        <w:t>L</w:t>
      </w:r>
      <w:r w:rsidRPr="00843FBA">
        <w:rPr>
          <w:rFonts w:cs="Arial"/>
          <w:sz w:val="22"/>
          <w:szCs w:val="22"/>
        </w:rPr>
        <w:t xml:space="preserve">earning </w:t>
      </w:r>
      <w:r w:rsidR="00371DF6">
        <w:rPr>
          <w:rFonts w:cs="Arial"/>
          <w:sz w:val="22"/>
          <w:szCs w:val="22"/>
        </w:rPr>
        <w:t>A</w:t>
      </w:r>
      <w:r w:rsidRPr="00843FBA">
        <w:rPr>
          <w:rFonts w:cs="Arial"/>
          <w:sz w:val="22"/>
          <w:szCs w:val="22"/>
        </w:rPr>
        <w:t xml:space="preserve">rea </w:t>
      </w:r>
      <w:r>
        <w:rPr>
          <w:rFonts w:cs="Arial"/>
          <w:sz w:val="22"/>
          <w:szCs w:val="22"/>
        </w:rPr>
        <w:t xml:space="preserve">Whakataukī. </w:t>
      </w:r>
      <w:r w:rsidR="004F3243">
        <w:rPr>
          <w:rFonts w:cs="Arial"/>
          <w:sz w:val="22"/>
          <w:szCs w:val="22"/>
        </w:rPr>
        <w:t xml:space="preserve">There was similar comment that applying a </w:t>
      </w:r>
      <w:r w:rsidR="004F3243" w:rsidRPr="004F3243">
        <w:rPr>
          <w:rFonts w:cs="Arial"/>
          <w:sz w:val="22"/>
          <w:szCs w:val="22"/>
        </w:rPr>
        <w:t>M</w:t>
      </w:r>
      <w:r w:rsidR="004F3243">
        <w:rPr>
          <w:rFonts w:cs="Arial"/>
          <w:sz w:val="22"/>
          <w:szCs w:val="22"/>
        </w:rPr>
        <w:t>ā</w:t>
      </w:r>
      <w:r w:rsidR="004F3243" w:rsidRPr="004F3243">
        <w:rPr>
          <w:rFonts w:cs="Arial"/>
          <w:sz w:val="22"/>
          <w:szCs w:val="22"/>
        </w:rPr>
        <w:t xml:space="preserve">ori world view to the </w:t>
      </w:r>
      <w:r w:rsidR="004F3243">
        <w:rPr>
          <w:rFonts w:cs="Arial"/>
          <w:sz w:val="22"/>
          <w:szCs w:val="22"/>
        </w:rPr>
        <w:t xml:space="preserve">materials </w:t>
      </w:r>
      <w:r w:rsidR="004F3243" w:rsidRPr="004F3243">
        <w:rPr>
          <w:rFonts w:cs="Arial"/>
          <w:sz w:val="22"/>
          <w:szCs w:val="22"/>
        </w:rPr>
        <w:t xml:space="preserve">does not necessarily mean that te reo must be used </w:t>
      </w:r>
      <w:r w:rsidR="004F3243">
        <w:rPr>
          <w:rFonts w:cs="Arial"/>
          <w:sz w:val="22"/>
          <w:szCs w:val="22"/>
        </w:rPr>
        <w:t xml:space="preserve">– there can be other, more meaningful ways to weave </w:t>
      </w:r>
      <w:r w:rsidR="004F3243" w:rsidRPr="004F3243">
        <w:rPr>
          <w:rFonts w:cs="Arial"/>
          <w:sz w:val="22"/>
          <w:szCs w:val="22"/>
        </w:rPr>
        <w:t xml:space="preserve">mātauranga Māori </w:t>
      </w:r>
      <w:r w:rsidR="004F3243">
        <w:rPr>
          <w:rFonts w:cs="Arial"/>
          <w:sz w:val="22"/>
          <w:szCs w:val="22"/>
        </w:rPr>
        <w:t xml:space="preserve">throughout the products and content. </w:t>
      </w:r>
    </w:p>
    <w:p w14:paraId="006FD08E" w14:textId="0822EB0C" w:rsidR="002A4B0A" w:rsidRDefault="00C2660C" w:rsidP="00A21D89">
      <w:pPr>
        <w:pStyle w:val="BodyText"/>
        <w:ind w:left="426"/>
        <w:rPr>
          <w:rFonts w:cs="Arial"/>
          <w:sz w:val="22"/>
          <w:szCs w:val="22"/>
        </w:rPr>
      </w:pPr>
      <w:r>
        <w:rPr>
          <w:rFonts w:cs="Arial"/>
          <w:sz w:val="22"/>
          <w:szCs w:val="22"/>
        </w:rPr>
        <w:t xml:space="preserve">There </w:t>
      </w:r>
      <w:r w:rsidR="004F3243">
        <w:rPr>
          <w:rFonts w:cs="Arial"/>
          <w:sz w:val="22"/>
          <w:szCs w:val="22"/>
        </w:rPr>
        <w:t xml:space="preserve">was also concern that the materials lacked nuance in </w:t>
      </w:r>
      <w:r w:rsidR="00B1276A">
        <w:rPr>
          <w:rFonts w:cs="Arial"/>
          <w:sz w:val="22"/>
          <w:szCs w:val="22"/>
        </w:rPr>
        <w:t>their</w:t>
      </w:r>
      <w:r w:rsidR="004F3243">
        <w:rPr>
          <w:rFonts w:cs="Arial"/>
          <w:sz w:val="22"/>
          <w:szCs w:val="22"/>
        </w:rPr>
        <w:t xml:space="preserve"> presentation of te ao Māori and mātauranga Māori, including a view that “</w:t>
      </w:r>
      <w:r w:rsidR="00E56AB4" w:rsidRPr="00E56AB4">
        <w:rPr>
          <w:rFonts w:cs="Arial"/>
          <w:sz w:val="22"/>
          <w:szCs w:val="22"/>
        </w:rPr>
        <w:t>Pacific languages feel lumped together and that Cook Islands Māori fit linguistically and culturally with Te Reo Māori</w:t>
      </w:r>
      <w:r w:rsidR="004F3243">
        <w:rPr>
          <w:rFonts w:cs="Arial"/>
          <w:sz w:val="22"/>
          <w:szCs w:val="22"/>
        </w:rPr>
        <w:t>”.</w:t>
      </w:r>
      <w:r w:rsidR="002A4B0A">
        <w:rPr>
          <w:rFonts w:cs="Arial"/>
          <w:sz w:val="22"/>
          <w:szCs w:val="22"/>
        </w:rPr>
        <w:t xml:space="preserve"> </w:t>
      </w:r>
      <w:r w:rsidR="00AB2839">
        <w:rPr>
          <w:rFonts w:cs="Arial"/>
          <w:sz w:val="22"/>
          <w:szCs w:val="22"/>
        </w:rPr>
        <w:t xml:space="preserve">This perceived lack of nuance extends to the incorporation of key concepts in the draft materials such as hauora, which was said to focus too </w:t>
      </w:r>
      <w:r w:rsidR="00AB2839" w:rsidRPr="00AB2839">
        <w:rPr>
          <w:rFonts w:cs="Arial"/>
          <w:sz w:val="22"/>
          <w:szCs w:val="22"/>
        </w:rPr>
        <w:t>heavily on the physical aspect, but not the mental and spiritual</w:t>
      </w:r>
      <w:r w:rsidR="00AB2839">
        <w:rPr>
          <w:rFonts w:cs="Arial"/>
          <w:sz w:val="22"/>
          <w:szCs w:val="22"/>
        </w:rPr>
        <w:t xml:space="preserve"> aspects of it.</w:t>
      </w:r>
      <w:r w:rsidR="00AB2839" w:rsidRPr="00AB2839">
        <w:rPr>
          <w:rFonts w:cs="Arial"/>
          <w:sz w:val="22"/>
          <w:szCs w:val="22"/>
        </w:rPr>
        <w:t xml:space="preserve">    </w:t>
      </w:r>
    </w:p>
    <w:p w14:paraId="088AE75B" w14:textId="3EBCCF57" w:rsidR="00E56AB4" w:rsidRPr="00FF5127" w:rsidRDefault="002A4B0A" w:rsidP="00A21D89">
      <w:pPr>
        <w:pStyle w:val="BodyText"/>
        <w:ind w:left="426"/>
        <w:rPr>
          <w:rFonts w:cs="Arial"/>
          <w:sz w:val="22"/>
          <w:szCs w:val="22"/>
        </w:rPr>
      </w:pPr>
      <w:r>
        <w:rPr>
          <w:rFonts w:cs="Arial"/>
          <w:sz w:val="22"/>
          <w:szCs w:val="22"/>
        </w:rPr>
        <w:t>There was also concern that applying a very broad definition of wellbeing to the subject risk</w:t>
      </w:r>
      <w:r w:rsidR="00D700E2">
        <w:rPr>
          <w:rFonts w:cs="Arial"/>
          <w:sz w:val="22"/>
          <w:szCs w:val="22"/>
        </w:rPr>
        <w:t>s</w:t>
      </w:r>
      <w:r>
        <w:rPr>
          <w:rFonts w:cs="Arial"/>
          <w:sz w:val="22"/>
          <w:szCs w:val="22"/>
        </w:rPr>
        <w:t xml:space="preserve"> </w:t>
      </w:r>
      <w:r w:rsidRPr="002A4B0A">
        <w:rPr>
          <w:rFonts w:cs="Arial"/>
          <w:sz w:val="22"/>
          <w:szCs w:val="22"/>
        </w:rPr>
        <w:t xml:space="preserve">dismissing </w:t>
      </w:r>
      <w:r>
        <w:rPr>
          <w:rFonts w:cs="Arial"/>
          <w:sz w:val="22"/>
          <w:szCs w:val="22"/>
        </w:rPr>
        <w:t xml:space="preserve">some </w:t>
      </w:r>
      <w:r w:rsidR="00AB2839">
        <w:rPr>
          <w:rFonts w:cs="Arial"/>
          <w:sz w:val="22"/>
          <w:szCs w:val="22"/>
        </w:rPr>
        <w:t xml:space="preserve">understandings of </w:t>
      </w:r>
      <w:r>
        <w:rPr>
          <w:rFonts w:cs="Arial"/>
          <w:sz w:val="22"/>
          <w:szCs w:val="22"/>
        </w:rPr>
        <w:t>wellbeing</w:t>
      </w:r>
      <w:r w:rsidR="00AB2839">
        <w:rPr>
          <w:rFonts w:cs="Arial"/>
          <w:sz w:val="22"/>
          <w:szCs w:val="22"/>
        </w:rPr>
        <w:t xml:space="preserve"> that are important to Māori</w:t>
      </w:r>
      <w:r>
        <w:rPr>
          <w:rFonts w:cs="Arial"/>
          <w:sz w:val="22"/>
          <w:szCs w:val="22"/>
        </w:rPr>
        <w:t xml:space="preserve">, such as </w:t>
      </w:r>
      <w:r w:rsidRPr="002A4B0A">
        <w:rPr>
          <w:rFonts w:cs="Arial"/>
          <w:sz w:val="22"/>
          <w:szCs w:val="22"/>
        </w:rPr>
        <w:t>Te Whare Tapa Wh</w:t>
      </w:r>
      <w:r w:rsidR="00DC065C">
        <w:rPr>
          <w:rFonts w:cs="Arial"/>
          <w:sz w:val="22"/>
          <w:szCs w:val="22"/>
        </w:rPr>
        <w:t>ā</w:t>
      </w:r>
      <w:r>
        <w:rPr>
          <w:rFonts w:cs="Arial"/>
          <w:sz w:val="22"/>
          <w:szCs w:val="22"/>
        </w:rPr>
        <w:t>,</w:t>
      </w:r>
      <w:r w:rsidRPr="002A4B0A">
        <w:rPr>
          <w:rFonts w:cs="Arial"/>
          <w:sz w:val="22"/>
          <w:szCs w:val="22"/>
        </w:rPr>
        <w:t xml:space="preserve"> which </w:t>
      </w:r>
      <w:r>
        <w:rPr>
          <w:rFonts w:cs="Arial"/>
          <w:sz w:val="22"/>
          <w:szCs w:val="22"/>
        </w:rPr>
        <w:t xml:space="preserve">reflects the subject’s </w:t>
      </w:r>
      <w:r w:rsidRPr="002A4B0A">
        <w:rPr>
          <w:rFonts w:cs="Arial"/>
          <w:sz w:val="22"/>
          <w:szCs w:val="22"/>
        </w:rPr>
        <w:t xml:space="preserve">partnership with Te </w:t>
      </w:r>
      <w:proofErr w:type="spellStart"/>
      <w:r w:rsidRPr="002A4B0A">
        <w:rPr>
          <w:rFonts w:cs="Arial"/>
          <w:sz w:val="22"/>
          <w:szCs w:val="22"/>
        </w:rPr>
        <w:t>Tiriti</w:t>
      </w:r>
      <w:proofErr w:type="spellEnd"/>
      <w:r w:rsidRPr="002A4B0A">
        <w:rPr>
          <w:rFonts w:cs="Arial"/>
          <w:sz w:val="22"/>
          <w:szCs w:val="22"/>
        </w:rPr>
        <w:t xml:space="preserve"> o Waitangi</w:t>
      </w:r>
      <w:r w:rsidR="00AB2839">
        <w:rPr>
          <w:rFonts w:cs="Arial"/>
          <w:sz w:val="22"/>
          <w:szCs w:val="22"/>
        </w:rPr>
        <w:t>.</w:t>
      </w:r>
    </w:p>
    <w:p w14:paraId="02B83734" w14:textId="32EC8703" w:rsidR="00843FBA" w:rsidRDefault="00843FBA" w:rsidP="00A21D89">
      <w:pPr>
        <w:pStyle w:val="BodyText"/>
        <w:numPr>
          <w:ilvl w:val="0"/>
          <w:numId w:val="44"/>
        </w:numPr>
        <w:ind w:left="426"/>
        <w:rPr>
          <w:rFonts w:cs="Arial"/>
          <w:b/>
          <w:bCs/>
          <w:i/>
          <w:iCs/>
          <w:sz w:val="22"/>
          <w:szCs w:val="22"/>
        </w:rPr>
      </w:pPr>
      <w:r w:rsidRPr="00843FBA">
        <w:rPr>
          <w:rFonts w:cs="Arial"/>
          <w:b/>
          <w:bCs/>
          <w:i/>
          <w:iCs/>
          <w:sz w:val="22"/>
          <w:szCs w:val="22"/>
        </w:rPr>
        <w:t>Capability of teachers to deliver mātauranga Māori</w:t>
      </w:r>
    </w:p>
    <w:p w14:paraId="5EEACBDE" w14:textId="59DE2B8A" w:rsidR="004F3243" w:rsidRDefault="004F3243" w:rsidP="00A21D89">
      <w:pPr>
        <w:pStyle w:val="BodyText"/>
        <w:ind w:left="567"/>
        <w:rPr>
          <w:rFonts w:cs="Arial"/>
          <w:sz w:val="22"/>
          <w:szCs w:val="22"/>
        </w:rPr>
      </w:pPr>
      <w:r>
        <w:rPr>
          <w:rFonts w:cs="Arial"/>
          <w:sz w:val="22"/>
          <w:szCs w:val="22"/>
        </w:rPr>
        <w:t>While there was general support for the inclusion of mātauranga Māori in Health Education (with Home Economics), there was significant concern from all feedback sources that m</w:t>
      </w:r>
      <w:r w:rsidR="00843FBA" w:rsidRPr="00FF5127">
        <w:rPr>
          <w:rFonts w:cs="Arial"/>
          <w:sz w:val="22"/>
          <w:szCs w:val="22"/>
        </w:rPr>
        <w:t xml:space="preserve">ost teachers </w:t>
      </w:r>
      <w:r>
        <w:rPr>
          <w:rFonts w:cs="Arial"/>
          <w:sz w:val="22"/>
          <w:szCs w:val="22"/>
        </w:rPr>
        <w:t xml:space="preserve">do not </w:t>
      </w:r>
      <w:r w:rsidRPr="00FF5127">
        <w:rPr>
          <w:rFonts w:cs="Arial"/>
          <w:sz w:val="22"/>
          <w:szCs w:val="22"/>
        </w:rPr>
        <w:t>have enough knowledge and training in te reo Māori and mātauranga Māori to be able to deliver the proposed material with depth of understanding</w:t>
      </w:r>
      <w:r>
        <w:rPr>
          <w:rFonts w:cs="Arial"/>
          <w:sz w:val="22"/>
          <w:szCs w:val="22"/>
        </w:rPr>
        <w:t xml:space="preserve">. This </w:t>
      </w:r>
      <w:r w:rsidR="00AB2839">
        <w:rPr>
          <w:rFonts w:cs="Arial"/>
          <w:sz w:val="22"/>
          <w:szCs w:val="22"/>
        </w:rPr>
        <w:t>indicates that the</w:t>
      </w:r>
      <w:r>
        <w:rPr>
          <w:rFonts w:cs="Arial"/>
          <w:sz w:val="22"/>
          <w:szCs w:val="22"/>
        </w:rPr>
        <w:t xml:space="preserve"> </w:t>
      </w:r>
      <w:r w:rsidR="00AB2839">
        <w:rPr>
          <w:rFonts w:cs="Arial"/>
          <w:sz w:val="22"/>
          <w:szCs w:val="22"/>
        </w:rPr>
        <w:t xml:space="preserve">main </w:t>
      </w:r>
      <w:r>
        <w:rPr>
          <w:rFonts w:cs="Arial"/>
          <w:sz w:val="22"/>
          <w:szCs w:val="22"/>
        </w:rPr>
        <w:t xml:space="preserve">barrier of teacher capability </w:t>
      </w:r>
      <w:r w:rsidR="00AB2839">
        <w:rPr>
          <w:rFonts w:cs="Arial"/>
          <w:sz w:val="22"/>
          <w:szCs w:val="22"/>
        </w:rPr>
        <w:t xml:space="preserve">in this area is </w:t>
      </w:r>
      <w:r>
        <w:rPr>
          <w:rFonts w:cs="Arial"/>
          <w:sz w:val="22"/>
          <w:szCs w:val="22"/>
        </w:rPr>
        <w:t>lack of training and professional development (PD) opportunities, not lack of will</w:t>
      </w:r>
      <w:r w:rsidR="00B1276A">
        <w:rPr>
          <w:rFonts w:cs="Arial"/>
          <w:sz w:val="22"/>
          <w:szCs w:val="22"/>
        </w:rPr>
        <w:t>ingness to incorporate aspects of te ao Māori</w:t>
      </w:r>
      <w:r>
        <w:rPr>
          <w:rFonts w:cs="Arial"/>
          <w:sz w:val="22"/>
          <w:szCs w:val="22"/>
        </w:rPr>
        <w:t>.</w:t>
      </w:r>
    </w:p>
    <w:p w14:paraId="01219250" w14:textId="0BE07968" w:rsidR="002A4B0A" w:rsidRDefault="002A4B0A" w:rsidP="00A21D89">
      <w:pPr>
        <w:pStyle w:val="BodyText"/>
        <w:ind w:left="567"/>
        <w:rPr>
          <w:rFonts w:cs="Arial"/>
          <w:sz w:val="22"/>
          <w:szCs w:val="22"/>
        </w:rPr>
      </w:pPr>
      <w:r>
        <w:rPr>
          <w:rFonts w:cs="Arial"/>
          <w:sz w:val="22"/>
          <w:szCs w:val="22"/>
        </w:rPr>
        <w:t>This concern applied to all areas of the subject materials, including in the draft standards</w:t>
      </w:r>
      <w:r w:rsidR="00E846D8">
        <w:rPr>
          <w:rFonts w:cs="Arial"/>
          <w:sz w:val="22"/>
          <w:szCs w:val="22"/>
        </w:rPr>
        <w:t xml:space="preserve"> titles</w:t>
      </w:r>
      <w:r>
        <w:rPr>
          <w:rFonts w:cs="Arial"/>
          <w:sz w:val="22"/>
          <w:szCs w:val="22"/>
        </w:rPr>
        <w:t>, such as Achievement Standard 1.1, where it was suggested that, “Even</w:t>
      </w:r>
      <w:r w:rsidRPr="002A4B0A">
        <w:rPr>
          <w:rFonts w:cs="Arial"/>
          <w:sz w:val="22"/>
          <w:szCs w:val="22"/>
        </w:rPr>
        <w:t xml:space="preserve">, coming from someone who got taught </w:t>
      </w:r>
      <w:r>
        <w:rPr>
          <w:rFonts w:cs="Arial"/>
          <w:sz w:val="22"/>
          <w:szCs w:val="22"/>
        </w:rPr>
        <w:t>h</w:t>
      </w:r>
      <w:r w:rsidRPr="002A4B0A">
        <w:rPr>
          <w:rFonts w:cs="Arial"/>
          <w:sz w:val="22"/>
          <w:szCs w:val="22"/>
        </w:rPr>
        <w:t>a</w:t>
      </w:r>
      <w:r>
        <w:rPr>
          <w:rFonts w:cs="Arial"/>
          <w:sz w:val="22"/>
          <w:szCs w:val="22"/>
        </w:rPr>
        <w:t>u</w:t>
      </w:r>
      <w:r w:rsidRPr="002A4B0A">
        <w:rPr>
          <w:rFonts w:cs="Arial"/>
          <w:sz w:val="22"/>
          <w:szCs w:val="22"/>
        </w:rPr>
        <w:t xml:space="preserve">ora this way, </w:t>
      </w:r>
      <w:r>
        <w:rPr>
          <w:rFonts w:cs="Arial"/>
          <w:sz w:val="22"/>
          <w:szCs w:val="22"/>
        </w:rPr>
        <w:t xml:space="preserve">it </w:t>
      </w:r>
      <w:r w:rsidRPr="002A4B0A">
        <w:rPr>
          <w:rFonts w:cs="Arial"/>
          <w:sz w:val="22"/>
          <w:szCs w:val="22"/>
        </w:rPr>
        <w:t>can be taught such that it barely even considers te ao Maori</w:t>
      </w:r>
      <w:r>
        <w:rPr>
          <w:rFonts w:cs="Arial"/>
          <w:sz w:val="22"/>
          <w:szCs w:val="22"/>
        </w:rPr>
        <w:t>”.</w:t>
      </w:r>
    </w:p>
    <w:p w14:paraId="05E41E62" w14:textId="39EC45CD" w:rsidR="00843FBA" w:rsidRDefault="00843FBA" w:rsidP="00843FBA">
      <w:pPr>
        <w:pStyle w:val="BodyText"/>
        <w:numPr>
          <w:ilvl w:val="0"/>
          <w:numId w:val="44"/>
        </w:numPr>
        <w:rPr>
          <w:rFonts w:cs="Arial"/>
          <w:b/>
          <w:bCs/>
          <w:i/>
          <w:iCs/>
          <w:sz w:val="22"/>
          <w:szCs w:val="22"/>
        </w:rPr>
      </w:pPr>
      <w:r w:rsidRPr="00843FBA">
        <w:rPr>
          <w:rFonts w:cs="Arial"/>
          <w:b/>
          <w:bCs/>
          <w:i/>
          <w:iCs/>
          <w:sz w:val="22"/>
          <w:szCs w:val="22"/>
        </w:rPr>
        <w:t>Capability of teachers from Health Education or Home Economics teaching background to deliver consolidated subject material</w:t>
      </w:r>
    </w:p>
    <w:p w14:paraId="1A22D65D" w14:textId="51246E4E" w:rsidR="00FD1F07" w:rsidRDefault="00AB2839" w:rsidP="002A4B0A">
      <w:pPr>
        <w:pStyle w:val="BodyText"/>
        <w:ind w:left="709"/>
        <w:rPr>
          <w:rFonts w:cs="Arial"/>
          <w:sz w:val="22"/>
          <w:szCs w:val="22"/>
        </w:rPr>
      </w:pPr>
      <w:r>
        <w:rPr>
          <w:rFonts w:cs="Arial"/>
          <w:sz w:val="22"/>
          <w:szCs w:val="22"/>
        </w:rPr>
        <w:t xml:space="preserve">Feedback was divided on how </w:t>
      </w:r>
      <w:r w:rsidR="00CC5BE3">
        <w:rPr>
          <w:rFonts w:cs="Arial"/>
          <w:sz w:val="22"/>
          <w:szCs w:val="22"/>
        </w:rPr>
        <w:t xml:space="preserve">well </w:t>
      </w:r>
      <w:r w:rsidRPr="00AB2839">
        <w:rPr>
          <w:rFonts w:cs="Arial"/>
          <w:sz w:val="22"/>
          <w:szCs w:val="22"/>
        </w:rPr>
        <w:t xml:space="preserve">Health Education and Home Economics teachers could </w:t>
      </w:r>
      <w:r w:rsidR="00FD1F07">
        <w:rPr>
          <w:rFonts w:cs="Arial"/>
          <w:sz w:val="22"/>
          <w:szCs w:val="22"/>
        </w:rPr>
        <w:t>deliver the proposed Health Education (with Home Economic) subject material, given their diverse training and teaching backgrounds.</w:t>
      </w:r>
    </w:p>
    <w:p w14:paraId="7DC9FF2E" w14:textId="3E53BFBC" w:rsidR="00B1276A" w:rsidRDefault="00FD1F07" w:rsidP="002A4B0A">
      <w:pPr>
        <w:pStyle w:val="BodyText"/>
        <w:ind w:left="709"/>
        <w:rPr>
          <w:rFonts w:cs="Arial"/>
          <w:sz w:val="22"/>
          <w:szCs w:val="22"/>
        </w:rPr>
      </w:pPr>
      <w:r>
        <w:rPr>
          <w:rFonts w:cs="Arial"/>
          <w:sz w:val="22"/>
          <w:szCs w:val="22"/>
        </w:rPr>
        <w:t xml:space="preserve">Some survey respondents stated that changing the focus to wellbeing will help pull health, </w:t>
      </w:r>
      <w:proofErr w:type="gramStart"/>
      <w:r>
        <w:rPr>
          <w:rFonts w:cs="Arial"/>
          <w:sz w:val="22"/>
          <w:szCs w:val="22"/>
        </w:rPr>
        <w:t>nutrition</w:t>
      </w:r>
      <w:proofErr w:type="gramEnd"/>
      <w:r>
        <w:rPr>
          <w:rFonts w:cs="Arial"/>
          <w:sz w:val="22"/>
          <w:szCs w:val="22"/>
        </w:rPr>
        <w:t xml:space="preserve"> and food into a cohesive course</w:t>
      </w:r>
      <w:r w:rsidR="00B1276A">
        <w:rPr>
          <w:rFonts w:cs="Arial"/>
          <w:sz w:val="22"/>
          <w:szCs w:val="22"/>
        </w:rPr>
        <w:t>.</w:t>
      </w:r>
    </w:p>
    <w:p w14:paraId="12D93CB1" w14:textId="3A441E1D" w:rsidR="00CC5BE3" w:rsidRDefault="00FD1F07" w:rsidP="00A21D89">
      <w:pPr>
        <w:pStyle w:val="BodyText"/>
        <w:ind w:left="993"/>
        <w:rPr>
          <w:rFonts w:cs="Arial"/>
          <w:sz w:val="22"/>
          <w:szCs w:val="22"/>
        </w:rPr>
      </w:pPr>
      <w:r>
        <w:rPr>
          <w:rFonts w:cs="Arial"/>
          <w:sz w:val="22"/>
          <w:szCs w:val="22"/>
        </w:rPr>
        <w:t>“</w:t>
      </w:r>
      <w:r w:rsidR="00CC5BE3" w:rsidRPr="00CC5BE3">
        <w:rPr>
          <w:rFonts w:cs="Arial"/>
          <w:sz w:val="22"/>
          <w:szCs w:val="22"/>
        </w:rPr>
        <w:t xml:space="preserve">I was initially concerned with what I perceived </w:t>
      </w:r>
      <w:r w:rsidR="00E846D8">
        <w:rPr>
          <w:rFonts w:cs="Arial"/>
          <w:sz w:val="22"/>
          <w:szCs w:val="22"/>
        </w:rPr>
        <w:t xml:space="preserve">as </w:t>
      </w:r>
      <w:r w:rsidR="00CC5BE3" w:rsidRPr="00CC5BE3">
        <w:rPr>
          <w:rFonts w:cs="Arial"/>
          <w:sz w:val="22"/>
          <w:szCs w:val="22"/>
        </w:rPr>
        <w:t xml:space="preserve">a lack of Food and Nutrition (I am a F&amp;N specialist teacher); however, as a strong advocate of hauora, I am impressed with </w:t>
      </w:r>
      <w:r w:rsidR="00CC5BE3" w:rsidRPr="00CC5BE3">
        <w:rPr>
          <w:rFonts w:cs="Arial"/>
          <w:sz w:val="22"/>
          <w:szCs w:val="22"/>
        </w:rPr>
        <w:lastRenderedPageBreak/>
        <w:t xml:space="preserve">the scope and flexibility this new package offers. I firmly believe that young people need a stronger education relating to </w:t>
      </w:r>
      <w:proofErr w:type="gramStart"/>
      <w:r w:rsidR="00CC5BE3" w:rsidRPr="00CC5BE3">
        <w:rPr>
          <w:rFonts w:cs="Arial"/>
          <w:sz w:val="22"/>
          <w:szCs w:val="22"/>
        </w:rPr>
        <w:t>nutrition, but</w:t>
      </w:r>
      <w:proofErr w:type="gramEnd"/>
      <w:r w:rsidR="00CC5BE3" w:rsidRPr="00CC5BE3">
        <w:rPr>
          <w:rFonts w:cs="Arial"/>
          <w:sz w:val="22"/>
          <w:szCs w:val="22"/>
        </w:rPr>
        <w:t xml:space="preserve"> being able to link this to overall wellbeing</w:t>
      </w:r>
      <w:r w:rsidR="00B12530">
        <w:rPr>
          <w:rFonts w:cs="Arial"/>
          <w:sz w:val="22"/>
          <w:szCs w:val="22"/>
        </w:rPr>
        <w:t xml:space="preserve"> will definitely benefit more students</w:t>
      </w:r>
      <w:r>
        <w:rPr>
          <w:rFonts w:cs="Arial"/>
          <w:sz w:val="22"/>
          <w:szCs w:val="22"/>
        </w:rPr>
        <w:t>.”</w:t>
      </w:r>
      <w:r w:rsidR="00CC5BE3" w:rsidRPr="00CC5BE3">
        <w:rPr>
          <w:rFonts w:cs="Arial"/>
          <w:sz w:val="22"/>
          <w:szCs w:val="22"/>
        </w:rPr>
        <w:t xml:space="preserve"> </w:t>
      </w:r>
    </w:p>
    <w:p w14:paraId="3A37780E" w14:textId="55C708D6" w:rsidR="00843FBA" w:rsidRDefault="00FD1F07" w:rsidP="002A4B0A">
      <w:pPr>
        <w:pStyle w:val="BodyText"/>
        <w:ind w:left="709"/>
        <w:rPr>
          <w:rFonts w:cs="Arial"/>
          <w:sz w:val="22"/>
          <w:szCs w:val="22"/>
        </w:rPr>
      </w:pPr>
      <w:r>
        <w:rPr>
          <w:rFonts w:cs="Arial"/>
          <w:sz w:val="22"/>
          <w:szCs w:val="22"/>
        </w:rPr>
        <w:t>However, th</w:t>
      </w:r>
      <w:r w:rsidR="002A4B0A">
        <w:rPr>
          <w:rFonts w:cs="Arial"/>
          <w:sz w:val="22"/>
          <w:szCs w:val="22"/>
        </w:rPr>
        <w:t xml:space="preserve">ere was concern and confusion from many survey respondents and the </w:t>
      </w:r>
      <w:r w:rsidR="00660CED">
        <w:rPr>
          <w:rFonts w:cs="Arial"/>
          <w:sz w:val="22"/>
          <w:szCs w:val="22"/>
        </w:rPr>
        <w:t>F</w:t>
      </w:r>
      <w:r w:rsidR="002A4B0A">
        <w:rPr>
          <w:rFonts w:cs="Arial"/>
          <w:sz w:val="22"/>
          <w:szCs w:val="22"/>
        </w:rPr>
        <w:t xml:space="preserve">ocus </w:t>
      </w:r>
      <w:r w:rsidR="00660CED">
        <w:rPr>
          <w:rFonts w:cs="Arial"/>
          <w:sz w:val="22"/>
          <w:szCs w:val="22"/>
        </w:rPr>
        <w:t>G</w:t>
      </w:r>
      <w:r w:rsidR="002A4B0A">
        <w:rPr>
          <w:rFonts w:cs="Arial"/>
          <w:sz w:val="22"/>
          <w:szCs w:val="22"/>
        </w:rPr>
        <w:t xml:space="preserve">roup </w:t>
      </w:r>
      <w:r w:rsidR="00B12530">
        <w:rPr>
          <w:rFonts w:cs="Arial"/>
          <w:sz w:val="22"/>
          <w:szCs w:val="22"/>
        </w:rPr>
        <w:t xml:space="preserve">that </w:t>
      </w:r>
      <w:r w:rsidR="00660CED">
        <w:rPr>
          <w:rFonts w:cs="Arial"/>
          <w:sz w:val="22"/>
          <w:szCs w:val="22"/>
        </w:rPr>
        <w:t xml:space="preserve">some </w:t>
      </w:r>
      <w:r w:rsidR="00843FBA" w:rsidRPr="00FF5127">
        <w:rPr>
          <w:rFonts w:cs="Arial"/>
          <w:sz w:val="22"/>
          <w:szCs w:val="22"/>
        </w:rPr>
        <w:t xml:space="preserve">health education </w:t>
      </w:r>
      <w:r w:rsidR="00B12530">
        <w:rPr>
          <w:rFonts w:cs="Arial"/>
          <w:sz w:val="22"/>
          <w:szCs w:val="22"/>
        </w:rPr>
        <w:t xml:space="preserve">teachers will not have the training and teaching </w:t>
      </w:r>
      <w:r w:rsidR="00843FBA" w:rsidRPr="00FF5127">
        <w:rPr>
          <w:rFonts w:cs="Arial"/>
          <w:sz w:val="22"/>
          <w:szCs w:val="22"/>
        </w:rPr>
        <w:t xml:space="preserve">background </w:t>
      </w:r>
      <w:r w:rsidR="00B12530">
        <w:rPr>
          <w:rFonts w:cs="Arial"/>
          <w:sz w:val="22"/>
          <w:szCs w:val="22"/>
        </w:rPr>
        <w:t xml:space="preserve">to be able to deliver some concepts and learning that has traditionally been taught in home economics classes, </w:t>
      </w:r>
      <w:r w:rsidR="00843FBA" w:rsidRPr="00FF5127">
        <w:rPr>
          <w:rFonts w:cs="Arial"/>
          <w:sz w:val="22"/>
          <w:szCs w:val="22"/>
        </w:rPr>
        <w:t>and vice-versa</w:t>
      </w:r>
      <w:r w:rsidR="002A4B0A">
        <w:rPr>
          <w:rFonts w:cs="Arial"/>
          <w:sz w:val="22"/>
          <w:szCs w:val="22"/>
        </w:rPr>
        <w:t>.</w:t>
      </w:r>
      <w:r w:rsidR="00B12530">
        <w:rPr>
          <w:rFonts w:cs="Arial"/>
          <w:sz w:val="22"/>
          <w:szCs w:val="22"/>
        </w:rPr>
        <w:t xml:space="preserve"> Sexuality and relationships, gender issues, and mental health were some of the areas of knowledge that were mentioned as problematic for teachers to deliver in classrooms without considerable training in these areas. Likewise, there was concern that teachers from a Health Education background would not have the knowledge and training required to deliver learning and assessment focused on practical work with food.</w:t>
      </w:r>
    </w:p>
    <w:p w14:paraId="6E163450" w14:textId="648AF152" w:rsidR="00843FBA" w:rsidRDefault="00843FBA" w:rsidP="00843FBA">
      <w:pPr>
        <w:pStyle w:val="BodyText"/>
        <w:numPr>
          <w:ilvl w:val="0"/>
          <w:numId w:val="44"/>
        </w:numPr>
        <w:rPr>
          <w:rFonts w:cs="Arial"/>
          <w:b/>
          <w:bCs/>
          <w:i/>
          <w:iCs/>
          <w:sz w:val="22"/>
          <w:szCs w:val="22"/>
        </w:rPr>
      </w:pPr>
      <w:r w:rsidRPr="00843FBA">
        <w:rPr>
          <w:rFonts w:cs="Arial"/>
          <w:b/>
          <w:bCs/>
          <w:i/>
          <w:iCs/>
          <w:sz w:val="22"/>
          <w:szCs w:val="22"/>
        </w:rPr>
        <w:t xml:space="preserve">Visibility of food and nutrition </w:t>
      </w:r>
    </w:p>
    <w:p w14:paraId="068A937A" w14:textId="2DE812E8" w:rsidR="00843FBA" w:rsidRPr="00FF5127" w:rsidRDefault="00B12530" w:rsidP="00843FBA">
      <w:pPr>
        <w:pStyle w:val="BodyText"/>
        <w:ind w:left="720"/>
        <w:rPr>
          <w:rFonts w:cs="Arial"/>
          <w:sz w:val="22"/>
          <w:szCs w:val="22"/>
        </w:rPr>
      </w:pPr>
      <w:r>
        <w:rPr>
          <w:rFonts w:cs="Arial"/>
          <w:sz w:val="22"/>
          <w:szCs w:val="22"/>
        </w:rPr>
        <w:t>Across all feedback channels, there was a common view that f</w:t>
      </w:r>
      <w:r w:rsidR="00843FBA" w:rsidRPr="00FF5127">
        <w:rPr>
          <w:rFonts w:cs="Arial"/>
          <w:sz w:val="22"/>
          <w:szCs w:val="22"/>
        </w:rPr>
        <w:t>ood and nutrition</w:t>
      </w:r>
      <w:r>
        <w:rPr>
          <w:rFonts w:cs="Arial"/>
          <w:sz w:val="22"/>
          <w:szCs w:val="22"/>
        </w:rPr>
        <w:t xml:space="preserve"> – the words themselves, as well as learning or concepts related to them - were not visible enough throughout the draft materials.</w:t>
      </w:r>
    </w:p>
    <w:p w14:paraId="09520273" w14:textId="3AF71FE7" w:rsidR="00B1276A" w:rsidRDefault="00B12530" w:rsidP="00843FBA">
      <w:pPr>
        <w:pStyle w:val="BodyText"/>
        <w:ind w:left="720"/>
        <w:rPr>
          <w:rFonts w:cs="Arial"/>
          <w:sz w:val="22"/>
          <w:szCs w:val="22"/>
        </w:rPr>
      </w:pPr>
      <w:r>
        <w:rPr>
          <w:rFonts w:cs="Arial"/>
          <w:sz w:val="22"/>
          <w:szCs w:val="22"/>
        </w:rPr>
        <w:t>Comments about this lack of visibility included</w:t>
      </w:r>
      <w:r w:rsidR="00B1276A">
        <w:rPr>
          <w:rFonts w:cs="Arial"/>
          <w:sz w:val="22"/>
          <w:szCs w:val="22"/>
        </w:rPr>
        <w:t>:</w:t>
      </w:r>
    </w:p>
    <w:p w14:paraId="435BFC9E" w14:textId="515E7399" w:rsidR="00B1276A" w:rsidRDefault="00B12530" w:rsidP="00A21D89">
      <w:pPr>
        <w:pStyle w:val="BodyText"/>
        <w:ind w:left="1134"/>
        <w:rPr>
          <w:rFonts w:cs="Arial"/>
          <w:sz w:val="22"/>
          <w:szCs w:val="22"/>
        </w:rPr>
      </w:pPr>
      <w:r>
        <w:rPr>
          <w:rFonts w:cs="Arial"/>
          <w:sz w:val="22"/>
          <w:szCs w:val="22"/>
        </w:rPr>
        <w:t>“</w:t>
      </w:r>
      <w:r w:rsidR="00CC5BE3" w:rsidRPr="00CC5BE3">
        <w:rPr>
          <w:rFonts w:cs="Arial"/>
          <w:sz w:val="22"/>
          <w:szCs w:val="22"/>
        </w:rPr>
        <w:t>Provide explicitly the education and learning that cannot be left to chance: food practical skills (food selection and preparation, food safety), nutrition knowledge and experience, recipe literacy, food labelling</w:t>
      </w:r>
      <w:r>
        <w:rPr>
          <w:rFonts w:cs="Arial"/>
          <w:sz w:val="22"/>
          <w:szCs w:val="22"/>
        </w:rPr>
        <w:t>”</w:t>
      </w:r>
    </w:p>
    <w:p w14:paraId="79DDF2D8" w14:textId="61B8E277" w:rsidR="00CC5BE3" w:rsidRDefault="007D2620" w:rsidP="00A21D89">
      <w:pPr>
        <w:pStyle w:val="BodyText"/>
        <w:ind w:left="1134"/>
        <w:rPr>
          <w:rFonts w:cs="Arial"/>
          <w:sz w:val="22"/>
          <w:szCs w:val="22"/>
        </w:rPr>
      </w:pPr>
      <w:r>
        <w:rPr>
          <w:rFonts w:cs="Arial"/>
          <w:sz w:val="22"/>
          <w:szCs w:val="22"/>
        </w:rPr>
        <w:t>“I</w:t>
      </w:r>
      <w:r w:rsidR="00CC5BE3">
        <w:rPr>
          <w:rFonts w:cs="Arial"/>
          <w:sz w:val="22"/>
          <w:szCs w:val="22"/>
        </w:rPr>
        <w:t>n today’s world</w:t>
      </w:r>
      <w:r w:rsidR="00CC5BE3" w:rsidRPr="00CC5BE3">
        <w:rPr>
          <w:rFonts w:cs="Arial"/>
          <w:sz w:val="22"/>
          <w:szCs w:val="22"/>
        </w:rPr>
        <w:t>, it is more critical than ever before, that learners have the skills to select and prepare food that provides the essential macronutrients and more importantly micronutrients for brain health, mental and emotional well-being as well as physical well-being</w:t>
      </w:r>
      <w:r>
        <w:rPr>
          <w:rFonts w:cs="Arial"/>
          <w:sz w:val="22"/>
          <w:szCs w:val="22"/>
        </w:rPr>
        <w:t>”.</w:t>
      </w:r>
    </w:p>
    <w:p w14:paraId="588727C3" w14:textId="7611A062" w:rsidR="00CC5BE3" w:rsidRDefault="007D2620" w:rsidP="00843FBA">
      <w:pPr>
        <w:pStyle w:val="BodyText"/>
        <w:ind w:left="720"/>
        <w:rPr>
          <w:rFonts w:cs="Arial"/>
          <w:sz w:val="22"/>
          <w:szCs w:val="22"/>
        </w:rPr>
      </w:pPr>
      <w:r>
        <w:rPr>
          <w:rFonts w:cs="Arial"/>
          <w:sz w:val="22"/>
          <w:szCs w:val="22"/>
        </w:rPr>
        <w:t xml:space="preserve">The overall concern is that a lack of visibility of food and nutrition in the new Health Education </w:t>
      </w:r>
      <w:r w:rsidR="00660CED">
        <w:rPr>
          <w:rFonts w:cs="Arial"/>
          <w:sz w:val="22"/>
          <w:szCs w:val="22"/>
        </w:rPr>
        <w:t xml:space="preserve">(with </w:t>
      </w:r>
      <w:r>
        <w:rPr>
          <w:rFonts w:cs="Arial"/>
          <w:sz w:val="22"/>
          <w:szCs w:val="22"/>
        </w:rPr>
        <w:t>Home Economic</w:t>
      </w:r>
      <w:r w:rsidR="00660CED">
        <w:rPr>
          <w:rFonts w:cs="Arial"/>
          <w:sz w:val="22"/>
          <w:szCs w:val="22"/>
        </w:rPr>
        <w:t>s)</w:t>
      </w:r>
      <w:r>
        <w:rPr>
          <w:rFonts w:cs="Arial"/>
          <w:sz w:val="22"/>
          <w:szCs w:val="22"/>
        </w:rPr>
        <w:t xml:space="preserve"> subject will result in teacher and ākonga misunderstanding food as a technological process, instead of thinking more broadly about how nutrition is connected to hauora and nourishment.</w:t>
      </w:r>
    </w:p>
    <w:p w14:paraId="7213E141" w14:textId="08CE2A71" w:rsidR="00CC5BE3" w:rsidRDefault="007D2620" w:rsidP="00CC5BE3">
      <w:pPr>
        <w:pStyle w:val="BodyText"/>
        <w:ind w:left="709"/>
        <w:rPr>
          <w:rFonts w:cs="Arial"/>
          <w:sz w:val="22"/>
          <w:szCs w:val="22"/>
        </w:rPr>
      </w:pPr>
      <w:r>
        <w:rPr>
          <w:rFonts w:cs="Arial"/>
          <w:sz w:val="22"/>
          <w:szCs w:val="22"/>
        </w:rPr>
        <w:t xml:space="preserve">The issue was also raised by some stakeholders that the current imbalance of </w:t>
      </w:r>
      <w:r w:rsidR="00CC5BE3" w:rsidRPr="00CC5BE3">
        <w:rPr>
          <w:rFonts w:cs="Arial"/>
          <w:sz w:val="22"/>
          <w:szCs w:val="22"/>
        </w:rPr>
        <w:t xml:space="preserve">food </w:t>
      </w:r>
      <w:r>
        <w:rPr>
          <w:rFonts w:cs="Arial"/>
          <w:sz w:val="22"/>
          <w:szCs w:val="22"/>
        </w:rPr>
        <w:t xml:space="preserve">and </w:t>
      </w:r>
      <w:r w:rsidR="00CC5BE3" w:rsidRPr="00CC5BE3">
        <w:rPr>
          <w:rFonts w:cs="Arial"/>
          <w:sz w:val="22"/>
          <w:szCs w:val="22"/>
        </w:rPr>
        <w:t xml:space="preserve">health content </w:t>
      </w:r>
      <w:r>
        <w:rPr>
          <w:rFonts w:cs="Arial"/>
          <w:sz w:val="22"/>
          <w:szCs w:val="22"/>
        </w:rPr>
        <w:t xml:space="preserve">in the draft materials creates a barrier to showing the range of pathways that could be available for ākonga who take the subject at school. </w:t>
      </w:r>
    </w:p>
    <w:p w14:paraId="1A520D1E" w14:textId="316ADA45" w:rsidR="00B12530" w:rsidRDefault="00B12530" w:rsidP="00B12530">
      <w:pPr>
        <w:pStyle w:val="BodyText"/>
        <w:ind w:left="720"/>
        <w:rPr>
          <w:rFonts w:cs="Arial"/>
          <w:sz w:val="22"/>
          <w:szCs w:val="22"/>
        </w:rPr>
      </w:pPr>
      <w:r w:rsidRPr="00CC5BE3">
        <w:rPr>
          <w:rFonts w:cs="Arial"/>
          <w:sz w:val="22"/>
          <w:szCs w:val="22"/>
        </w:rPr>
        <w:t xml:space="preserve">There </w:t>
      </w:r>
      <w:r w:rsidR="007D2620">
        <w:rPr>
          <w:rFonts w:cs="Arial"/>
          <w:sz w:val="22"/>
          <w:szCs w:val="22"/>
        </w:rPr>
        <w:t>was also comment</w:t>
      </w:r>
      <w:r w:rsidRPr="00CC5BE3">
        <w:rPr>
          <w:rFonts w:cs="Arial"/>
          <w:sz w:val="22"/>
          <w:szCs w:val="22"/>
        </w:rPr>
        <w:t xml:space="preserve"> that the learning around 'food' </w:t>
      </w:r>
      <w:r w:rsidR="007D2620">
        <w:rPr>
          <w:rFonts w:cs="Arial"/>
          <w:sz w:val="22"/>
          <w:szCs w:val="22"/>
        </w:rPr>
        <w:t xml:space="preserve">in the draft materials </w:t>
      </w:r>
      <w:r w:rsidRPr="00CC5BE3">
        <w:rPr>
          <w:rFonts w:cs="Arial"/>
          <w:sz w:val="22"/>
          <w:szCs w:val="22"/>
        </w:rPr>
        <w:t xml:space="preserve">is too specific around </w:t>
      </w:r>
      <w:proofErr w:type="gramStart"/>
      <w:r w:rsidRPr="00CC5BE3">
        <w:rPr>
          <w:rFonts w:cs="Arial"/>
          <w:sz w:val="22"/>
          <w:szCs w:val="22"/>
        </w:rPr>
        <w:t>culture, and</w:t>
      </w:r>
      <w:proofErr w:type="gramEnd"/>
      <w:r w:rsidRPr="00CC5BE3">
        <w:rPr>
          <w:rFonts w:cs="Arial"/>
          <w:sz w:val="22"/>
          <w:szCs w:val="22"/>
        </w:rPr>
        <w:t xml:space="preserve"> needs </w:t>
      </w:r>
      <w:r w:rsidR="00B1276A">
        <w:rPr>
          <w:rFonts w:cs="Arial"/>
          <w:sz w:val="22"/>
          <w:szCs w:val="22"/>
        </w:rPr>
        <w:t>to be broader</w:t>
      </w:r>
      <w:r w:rsidRPr="00CC5BE3">
        <w:rPr>
          <w:rFonts w:cs="Arial"/>
          <w:sz w:val="22"/>
          <w:szCs w:val="22"/>
        </w:rPr>
        <w:t xml:space="preserve"> to include nutrition.</w:t>
      </w:r>
    </w:p>
    <w:p w14:paraId="3E30D2CD" w14:textId="77777777" w:rsidR="00CC5BE3" w:rsidRPr="00CC5BE3" w:rsidRDefault="00CC5BE3" w:rsidP="00D700E2">
      <w:pPr>
        <w:pStyle w:val="BodyText"/>
        <w:rPr>
          <w:rFonts w:cs="Arial"/>
          <w:sz w:val="22"/>
          <w:szCs w:val="22"/>
        </w:rPr>
      </w:pPr>
    </w:p>
    <w:p w14:paraId="76044B1E" w14:textId="48DAF904" w:rsidR="00843FBA" w:rsidRDefault="00843FBA" w:rsidP="00843FBA">
      <w:pPr>
        <w:pStyle w:val="BodyText"/>
        <w:numPr>
          <w:ilvl w:val="0"/>
          <w:numId w:val="44"/>
        </w:numPr>
        <w:rPr>
          <w:rFonts w:cs="Arial"/>
          <w:b/>
          <w:bCs/>
          <w:i/>
          <w:iCs/>
          <w:sz w:val="22"/>
          <w:szCs w:val="22"/>
        </w:rPr>
      </w:pPr>
      <w:r w:rsidRPr="00843FBA">
        <w:rPr>
          <w:rFonts w:cs="Arial"/>
          <w:b/>
          <w:bCs/>
          <w:i/>
          <w:iCs/>
          <w:sz w:val="22"/>
          <w:szCs w:val="22"/>
        </w:rPr>
        <w:t>Inclusion of Pacific values and concepts</w:t>
      </w:r>
    </w:p>
    <w:p w14:paraId="25517ECA" w14:textId="1D42D739" w:rsidR="00E114F8" w:rsidRDefault="002E438C" w:rsidP="00612150">
      <w:pPr>
        <w:pStyle w:val="BodyText"/>
        <w:ind w:left="709"/>
        <w:rPr>
          <w:rFonts w:cs="Arial"/>
          <w:sz w:val="22"/>
          <w:szCs w:val="22"/>
        </w:rPr>
      </w:pPr>
      <w:r>
        <w:rPr>
          <w:rFonts w:cs="Arial"/>
          <w:sz w:val="22"/>
          <w:szCs w:val="22"/>
        </w:rPr>
        <w:t xml:space="preserve">While there was </w:t>
      </w:r>
      <w:r w:rsidR="00E114F8">
        <w:rPr>
          <w:rFonts w:cs="Arial"/>
          <w:sz w:val="22"/>
          <w:szCs w:val="22"/>
        </w:rPr>
        <w:t>support for the Pacific values and concepts included in the draft materials, there was also feedback that there</w:t>
      </w:r>
      <w:r w:rsidR="00660CED">
        <w:rPr>
          <w:rFonts w:cs="Arial"/>
          <w:sz w:val="22"/>
          <w:szCs w:val="22"/>
        </w:rPr>
        <w:t xml:space="preserve"> i</w:t>
      </w:r>
      <w:r w:rsidR="00E114F8">
        <w:rPr>
          <w:rFonts w:cs="Arial"/>
          <w:sz w:val="22"/>
          <w:szCs w:val="22"/>
        </w:rPr>
        <w:t>s t</w:t>
      </w:r>
      <w:r w:rsidR="00843FBA" w:rsidRPr="00FF5127">
        <w:rPr>
          <w:rFonts w:cs="Arial"/>
          <w:sz w:val="22"/>
          <w:szCs w:val="22"/>
        </w:rPr>
        <w:t>oo much generalisation about Pacific communities</w:t>
      </w:r>
      <w:r w:rsidR="00E114F8">
        <w:rPr>
          <w:rFonts w:cs="Arial"/>
          <w:sz w:val="22"/>
          <w:szCs w:val="22"/>
        </w:rPr>
        <w:t xml:space="preserve">, and lack of nuance about the heritage and usage of specific values and concepts. </w:t>
      </w:r>
    </w:p>
    <w:p w14:paraId="0DB248B5" w14:textId="77777777" w:rsidR="00E114F8" w:rsidRDefault="00E114F8" w:rsidP="00612150">
      <w:pPr>
        <w:pStyle w:val="BodyText"/>
        <w:ind w:left="709"/>
        <w:rPr>
          <w:rFonts w:cs="Arial"/>
          <w:sz w:val="22"/>
          <w:szCs w:val="22"/>
        </w:rPr>
      </w:pPr>
      <w:r>
        <w:rPr>
          <w:rFonts w:cs="Arial"/>
          <w:sz w:val="22"/>
          <w:szCs w:val="22"/>
        </w:rPr>
        <w:t xml:space="preserve">There were also comments that the draft </w:t>
      </w:r>
      <w:r w:rsidRPr="00CC5BE3">
        <w:rPr>
          <w:rFonts w:cs="Arial"/>
          <w:sz w:val="22"/>
          <w:szCs w:val="22"/>
        </w:rPr>
        <w:t xml:space="preserve">products are written from an individualistic lens which does not align well with Pacific approaches and models of health from a collective lens. </w:t>
      </w:r>
      <w:r>
        <w:rPr>
          <w:rFonts w:cs="Arial"/>
          <w:sz w:val="22"/>
          <w:szCs w:val="22"/>
        </w:rPr>
        <w:t xml:space="preserve"> </w:t>
      </w:r>
    </w:p>
    <w:p w14:paraId="4BD0C500" w14:textId="6B216819" w:rsidR="00E114F8" w:rsidRDefault="00E114F8" w:rsidP="00612150">
      <w:pPr>
        <w:pStyle w:val="BodyText"/>
        <w:ind w:left="709"/>
        <w:rPr>
          <w:rFonts w:cs="Arial"/>
          <w:sz w:val="22"/>
          <w:szCs w:val="22"/>
        </w:rPr>
      </w:pPr>
      <w:r>
        <w:rPr>
          <w:rFonts w:cs="Arial"/>
          <w:sz w:val="22"/>
          <w:szCs w:val="22"/>
        </w:rPr>
        <w:lastRenderedPageBreak/>
        <w:t xml:space="preserve">There are opportunities to embed Pacific values in a more nuanced way throughout the materials, and conveying that </w:t>
      </w:r>
      <w:r w:rsidRPr="00CC5BE3">
        <w:rPr>
          <w:rFonts w:cs="Arial"/>
          <w:sz w:val="22"/>
          <w:szCs w:val="22"/>
        </w:rPr>
        <w:t xml:space="preserve">collectivism is important to Pacific communities would be a logical first step to embed Pacific knowledges and contexts in </w:t>
      </w:r>
      <w:r>
        <w:rPr>
          <w:rFonts w:cs="Arial"/>
          <w:sz w:val="22"/>
          <w:szCs w:val="22"/>
        </w:rPr>
        <w:t>this subject.</w:t>
      </w:r>
      <w:r w:rsidR="00612150">
        <w:rPr>
          <w:rFonts w:cs="Arial"/>
          <w:sz w:val="22"/>
          <w:szCs w:val="22"/>
        </w:rPr>
        <w:t xml:space="preserve"> There was also comment that Pacific models and contexts, such as </w:t>
      </w:r>
      <w:proofErr w:type="spellStart"/>
      <w:r w:rsidR="00612150">
        <w:rPr>
          <w:rFonts w:cs="Arial"/>
          <w:sz w:val="22"/>
          <w:szCs w:val="22"/>
        </w:rPr>
        <w:t>Fonofale</w:t>
      </w:r>
      <w:proofErr w:type="spellEnd"/>
      <w:r w:rsidR="00612150">
        <w:rPr>
          <w:rFonts w:cs="Arial"/>
          <w:sz w:val="22"/>
          <w:szCs w:val="22"/>
        </w:rPr>
        <w:t xml:space="preserve">, need to be incorporated more explicitly in the subject’s materials. </w:t>
      </w:r>
    </w:p>
    <w:p w14:paraId="138FE9DE" w14:textId="1FB44BC7" w:rsidR="00843FBA" w:rsidRDefault="00E114F8" w:rsidP="00612150">
      <w:pPr>
        <w:pStyle w:val="BodyText"/>
        <w:ind w:left="709"/>
        <w:rPr>
          <w:rFonts w:cs="Arial"/>
          <w:sz w:val="22"/>
          <w:szCs w:val="22"/>
        </w:rPr>
      </w:pPr>
      <w:r>
        <w:rPr>
          <w:rFonts w:cs="Arial"/>
          <w:sz w:val="22"/>
          <w:szCs w:val="22"/>
        </w:rPr>
        <w:t>Another concern raised was that teachers throughout Aotearoa do not currently have enough knowledge and experience of Pacific values and concepts to authentically deliver these in the classroom</w:t>
      </w:r>
      <w:r w:rsidR="00612150">
        <w:rPr>
          <w:rFonts w:cs="Arial"/>
          <w:sz w:val="22"/>
          <w:szCs w:val="22"/>
        </w:rPr>
        <w:t>. It was noted that, when planning training and PD for teachers about Pacific values and concepts, these r</w:t>
      </w:r>
      <w:r w:rsidR="00CC5BE3" w:rsidRPr="00CC5BE3">
        <w:rPr>
          <w:rFonts w:cs="Arial"/>
          <w:sz w:val="22"/>
          <w:szCs w:val="22"/>
        </w:rPr>
        <w:t>esources need to be tailored to support Pacific developers</w:t>
      </w:r>
      <w:r w:rsidR="00612150">
        <w:rPr>
          <w:rFonts w:cs="Arial"/>
          <w:sz w:val="22"/>
          <w:szCs w:val="22"/>
        </w:rPr>
        <w:t xml:space="preserve"> as well as </w:t>
      </w:r>
      <w:r w:rsidR="00CC5BE3" w:rsidRPr="00CC5BE3">
        <w:rPr>
          <w:rFonts w:cs="Arial"/>
          <w:sz w:val="22"/>
          <w:szCs w:val="22"/>
        </w:rPr>
        <w:t>non-Pacific teachers</w:t>
      </w:r>
      <w:r w:rsidR="00612150">
        <w:rPr>
          <w:rFonts w:cs="Arial"/>
          <w:sz w:val="22"/>
          <w:szCs w:val="22"/>
        </w:rPr>
        <w:t xml:space="preserve">, to ensure </w:t>
      </w:r>
      <w:r w:rsidR="00CC5BE3" w:rsidRPr="00CC5BE3">
        <w:rPr>
          <w:rFonts w:cs="Arial"/>
          <w:sz w:val="22"/>
          <w:szCs w:val="22"/>
        </w:rPr>
        <w:t xml:space="preserve">that </w:t>
      </w:r>
      <w:r w:rsidR="00612150">
        <w:rPr>
          <w:rFonts w:cs="Arial"/>
          <w:sz w:val="22"/>
          <w:szCs w:val="22"/>
        </w:rPr>
        <w:t xml:space="preserve">all </w:t>
      </w:r>
      <w:r w:rsidR="00CC5BE3" w:rsidRPr="00CC5BE3">
        <w:rPr>
          <w:rFonts w:cs="Arial"/>
          <w:sz w:val="22"/>
          <w:szCs w:val="22"/>
        </w:rPr>
        <w:t>supports provided are not tokenistic</w:t>
      </w:r>
      <w:r w:rsidR="00612150">
        <w:rPr>
          <w:rFonts w:cs="Arial"/>
          <w:sz w:val="22"/>
          <w:szCs w:val="22"/>
        </w:rPr>
        <w:t>.</w:t>
      </w:r>
    </w:p>
    <w:p w14:paraId="4B450BCB" w14:textId="44F3B3C6" w:rsidR="00843FBA" w:rsidRDefault="00843FBA" w:rsidP="00843FBA">
      <w:pPr>
        <w:pStyle w:val="BodyText"/>
        <w:numPr>
          <w:ilvl w:val="0"/>
          <w:numId w:val="44"/>
        </w:numPr>
        <w:rPr>
          <w:rFonts w:cs="Arial"/>
          <w:b/>
          <w:bCs/>
          <w:i/>
          <w:iCs/>
          <w:sz w:val="22"/>
          <w:szCs w:val="22"/>
        </w:rPr>
      </w:pPr>
      <w:r w:rsidRPr="00843FBA">
        <w:rPr>
          <w:rFonts w:cs="Arial"/>
          <w:b/>
          <w:bCs/>
          <w:i/>
          <w:iCs/>
          <w:sz w:val="22"/>
          <w:szCs w:val="22"/>
        </w:rPr>
        <w:t xml:space="preserve">Level of knowledge expected of NCEA Level 1 ākonga </w:t>
      </w:r>
    </w:p>
    <w:p w14:paraId="04177EA5" w14:textId="3F61E064" w:rsidR="00612150" w:rsidRDefault="00612150" w:rsidP="00612150">
      <w:pPr>
        <w:pStyle w:val="BodyText"/>
        <w:ind w:left="709"/>
        <w:rPr>
          <w:rFonts w:cs="Arial"/>
          <w:sz w:val="22"/>
          <w:szCs w:val="22"/>
        </w:rPr>
      </w:pPr>
      <w:r>
        <w:rPr>
          <w:rFonts w:cs="Arial"/>
          <w:sz w:val="22"/>
          <w:szCs w:val="22"/>
        </w:rPr>
        <w:t>All sources of feedback commented on the level of learning expected for ākonga studying Health Education (with Home Economics) at NCEA Level 1. The common view was that the draft S</w:t>
      </w:r>
      <w:r w:rsidR="00843FBA" w:rsidRPr="00FF5127">
        <w:rPr>
          <w:rFonts w:cs="Arial"/>
          <w:sz w:val="22"/>
          <w:szCs w:val="22"/>
        </w:rPr>
        <w:t xml:space="preserve">ignificant </w:t>
      </w:r>
      <w:r>
        <w:rPr>
          <w:rFonts w:cs="Arial"/>
          <w:sz w:val="22"/>
          <w:szCs w:val="22"/>
        </w:rPr>
        <w:t>L</w:t>
      </w:r>
      <w:r w:rsidR="00843FBA" w:rsidRPr="00FF5127">
        <w:rPr>
          <w:rFonts w:cs="Arial"/>
          <w:sz w:val="22"/>
          <w:szCs w:val="22"/>
        </w:rPr>
        <w:t>earning is too academic</w:t>
      </w:r>
      <w:r>
        <w:rPr>
          <w:rFonts w:cs="Arial"/>
          <w:sz w:val="22"/>
          <w:szCs w:val="22"/>
        </w:rPr>
        <w:t xml:space="preserve"> and too </w:t>
      </w:r>
      <w:r w:rsidR="00843FBA" w:rsidRPr="00FF5127">
        <w:rPr>
          <w:rFonts w:cs="Arial"/>
          <w:sz w:val="22"/>
          <w:szCs w:val="22"/>
        </w:rPr>
        <w:t xml:space="preserve">advanced for </w:t>
      </w:r>
      <w:r w:rsidR="00A85E8F">
        <w:rPr>
          <w:rFonts w:cs="Arial"/>
          <w:sz w:val="22"/>
          <w:szCs w:val="22"/>
        </w:rPr>
        <w:t xml:space="preserve">ākonga </w:t>
      </w:r>
      <w:r>
        <w:rPr>
          <w:rFonts w:cs="Arial"/>
          <w:sz w:val="22"/>
          <w:szCs w:val="22"/>
        </w:rPr>
        <w:t xml:space="preserve">entering Year 11. </w:t>
      </w:r>
      <w:r w:rsidR="001D2DB0">
        <w:rPr>
          <w:rFonts w:cs="Arial"/>
          <w:sz w:val="22"/>
          <w:szCs w:val="22"/>
        </w:rPr>
        <w:t>Contributing to this view that the draft materials are too advanced is the view that the draft Learning Matrix and Teaching and Learning Guide</w:t>
      </w:r>
      <w:r w:rsidR="00D700E2">
        <w:rPr>
          <w:rFonts w:cs="Arial"/>
          <w:sz w:val="22"/>
          <w:szCs w:val="22"/>
        </w:rPr>
        <w:t xml:space="preserve"> </w:t>
      </w:r>
      <w:r w:rsidR="001D2DB0">
        <w:rPr>
          <w:rFonts w:cs="Arial"/>
          <w:sz w:val="22"/>
          <w:szCs w:val="22"/>
        </w:rPr>
        <w:t xml:space="preserve">content are too long, which makes the proposed subject learnings and purpose seem overly complicated. </w:t>
      </w:r>
    </w:p>
    <w:p w14:paraId="5D555D79" w14:textId="5B7EABE8" w:rsidR="00F03E70" w:rsidRDefault="00612150" w:rsidP="00612150">
      <w:pPr>
        <w:pStyle w:val="BodyText"/>
        <w:ind w:left="709"/>
        <w:rPr>
          <w:rFonts w:cs="Arial"/>
          <w:sz w:val="22"/>
          <w:szCs w:val="22"/>
        </w:rPr>
      </w:pPr>
      <w:r>
        <w:rPr>
          <w:rFonts w:cs="Arial"/>
          <w:sz w:val="22"/>
          <w:szCs w:val="22"/>
        </w:rPr>
        <w:t>Comments in support of this view included</w:t>
      </w:r>
      <w:r w:rsidR="009A254B">
        <w:rPr>
          <w:rFonts w:cs="Arial"/>
          <w:sz w:val="22"/>
          <w:szCs w:val="22"/>
        </w:rPr>
        <w:t>:</w:t>
      </w:r>
    </w:p>
    <w:p w14:paraId="43F822C2" w14:textId="097CAE72" w:rsidR="00F03E70" w:rsidRDefault="00612150" w:rsidP="00A21D89">
      <w:pPr>
        <w:pStyle w:val="BodyText"/>
        <w:ind w:left="1134"/>
        <w:rPr>
          <w:rFonts w:cs="Arial"/>
          <w:sz w:val="22"/>
          <w:szCs w:val="22"/>
        </w:rPr>
      </w:pPr>
      <w:r>
        <w:rPr>
          <w:rFonts w:cs="Arial"/>
          <w:sz w:val="22"/>
          <w:szCs w:val="22"/>
        </w:rPr>
        <w:t>“</w:t>
      </w:r>
      <w:r w:rsidR="009A254B">
        <w:rPr>
          <w:rFonts w:cs="Arial"/>
          <w:sz w:val="22"/>
          <w:szCs w:val="22"/>
        </w:rPr>
        <w:t>T</w:t>
      </w:r>
      <w:r>
        <w:rPr>
          <w:rFonts w:cs="Arial"/>
          <w:sz w:val="22"/>
          <w:szCs w:val="22"/>
        </w:rPr>
        <w:t xml:space="preserve">his </w:t>
      </w:r>
      <w:r w:rsidRPr="00CC5BE3">
        <w:rPr>
          <w:rFonts w:cs="Arial"/>
          <w:sz w:val="22"/>
          <w:szCs w:val="22"/>
        </w:rPr>
        <w:t xml:space="preserve">involves some very heavy topics for </w:t>
      </w:r>
      <w:proofErr w:type="gramStart"/>
      <w:r w:rsidRPr="00CC5BE3">
        <w:rPr>
          <w:rFonts w:cs="Arial"/>
          <w:sz w:val="22"/>
          <w:szCs w:val="22"/>
        </w:rPr>
        <w:t>15-16 year olds</w:t>
      </w:r>
      <w:proofErr w:type="gramEnd"/>
      <w:r w:rsidRPr="00CC5BE3">
        <w:rPr>
          <w:rFonts w:cs="Arial"/>
          <w:sz w:val="22"/>
          <w:szCs w:val="22"/>
        </w:rPr>
        <w:t xml:space="preserve"> (I am worried they won't have the maturity to understand all the concepts to an appropriate level</w:t>
      </w:r>
      <w:r>
        <w:rPr>
          <w:rFonts w:cs="Arial"/>
          <w:sz w:val="22"/>
          <w:szCs w:val="22"/>
        </w:rPr>
        <w:t>)”</w:t>
      </w:r>
    </w:p>
    <w:p w14:paraId="731EE4F7" w14:textId="28EA2948" w:rsidR="00612150" w:rsidRDefault="00612150" w:rsidP="00A21D89">
      <w:pPr>
        <w:pStyle w:val="BodyText"/>
        <w:ind w:left="1134"/>
        <w:rPr>
          <w:rFonts w:cs="Arial"/>
          <w:sz w:val="22"/>
          <w:szCs w:val="22"/>
        </w:rPr>
      </w:pPr>
      <w:r>
        <w:rPr>
          <w:rFonts w:cs="Arial"/>
          <w:sz w:val="22"/>
          <w:szCs w:val="22"/>
        </w:rPr>
        <w:t xml:space="preserve"> “</w:t>
      </w:r>
      <w:r w:rsidRPr="00CC5BE3">
        <w:rPr>
          <w:rFonts w:cs="Arial"/>
          <w:sz w:val="22"/>
          <w:szCs w:val="22"/>
        </w:rPr>
        <w:t>I also find that there is a massive jump from not only the current year 11 curriculum but also from year 10 healt</w:t>
      </w:r>
      <w:r>
        <w:rPr>
          <w:rFonts w:cs="Arial"/>
          <w:sz w:val="22"/>
          <w:szCs w:val="22"/>
        </w:rPr>
        <w:t>h”.</w:t>
      </w:r>
    </w:p>
    <w:p w14:paraId="1EF7E6B9" w14:textId="0F3CFF91" w:rsidR="00F03E70" w:rsidRDefault="00612150" w:rsidP="00612150">
      <w:pPr>
        <w:pStyle w:val="BodyText"/>
        <w:ind w:left="709"/>
        <w:rPr>
          <w:rFonts w:cs="Arial"/>
          <w:sz w:val="22"/>
          <w:szCs w:val="22"/>
        </w:rPr>
      </w:pPr>
      <w:r>
        <w:rPr>
          <w:rFonts w:cs="Arial"/>
          <w:sz w:val="22"/>
          <w:szCs w:val="22"/>
        </w:rPr>
        <w:t>While there wasn’t significant feedback on the draft standards for this subject, this concern about the level of knowledge expected of Year 11</w:t>
      </w:r>
      <w:r w:rsidR="008E0780">
        <w:rPr>
          <w:rFonts w:cs="Arial"/>
          <w:sz w:val="22"/>
          <w:szCs w:val="22"/>
        </w:rPr>
        <w:t xml:space="preserve"> ākonga</w:t>
      </w:r>
      <w:r>
        <w:rPr>
          <w:rFonts w:cs="Arial"/>
          <w:sz w:val="22"/>
          <w:szCs w:val="22"/>
        </w:rPr>
        <w:t xml:space="preserve"> was applied to some draft standards as well</w:t>
      </w:r>
      <w:r w:rsidR="007F75F3">
        <w:rPr>
          <w:rFonts w:cs="Arial"/>
          <w:sz w:val="22"/>
          <w:szCs w:val="22"/>
        </w:rPr>
        <w:t>, for example</w:t>
      </w:r>
      <w:r w:rsidR="009A254B">
        <w:rPr>
          <w:rFonts w:cs="Arial"/>
          <w:sz w:val="22"/>
          <w:szCs w:val="22"/>
        </w:rPr>
        <w:t>:</w:t>
      </w:r>
    </w:p>
    <w:p w14:paraId="341EEFF9" w14:textId="215A4438" w:rsidR="00612150" w:rsidRDefault="007F75F3" w:rsidP="00A21D89">
      <w:pPr>
        <w:pStyle w:val="BodyText"/>
        <w:ind w:left="993"/>
        <w:rPr>
          <w:rFonts w:cs="Arial"/>
          <w:sz w:val="22"/>
          <w:szCs w:val="22"/>
        </w:rPr>
      </w:pPr>
      <w:r>
        <w:rPr>
          <w:rFonts w:cs="Arial"/>
          <w:sz w:val="22"/>
          <w:szCs w:val="22"/>
        </w:rPr>
        <w:t xml:space="preserve"> “</w:t>
      </w:r>
      <w:r w:rsidR="00612150" w:rsidRPr="00612150">
        <w:rPr>
          <w:rFonts w:cs="Arial"/>
          <w:sz w:val="22"/>
          <w:szCs w:val="22"/>
        </w:rPr>
        <w:t>The concepts required are way too high for our current learners; particularly for 1.2 (2nd paragraph) It seems like a huge step up academically and there are no guidelines about the report for 1.4. The content of 1.4 looks like the current 3.2.</w:t>
      </w:r>
      <w:r>
        <w:rPr>
          <w:rFonts w:cs="Arial"/>
          <w:sz w:val="22"/>
          <w:szCs w:val="22"/>
        </w:rPr>
        <w:t>”</w:t>
      </w:r>
    </w:p>
    <w:p w14:paraId="3BBED1E7" w14:textId="383DF1E7" w:rsidR="007F75F3" w:rsidRDefault="007F75F3" w:rsidP="00612150">
      <w:pPr>
        <w:pStyle w:val="BodyText"/>
        <w:ind w:left="709"/>
        <w:rPr>
          <w:rFonts w:cs="Arial"/>
          <w:sz w:val="22"/>
          <w:szCs w:val="22"/>
        </w:rPr>
      </w:pPr>
      <w:r>
        <w:rPr>
          <w:rFonts w:cs="Arial"/>
          <w:sz w:val="22"/>
          <w:szCs w:val="22"/>
        </w:rPr>
        <w:t>Part of this concern is connected with the perceive</w:t>
      </w:r>
      <w:r w:rsidR="00660CED">
        <w:rPr>
          <w:rFonts w:cs="Arial"/>
          <w:sz w:val="22"/>
          <w:szCs w:val="22"/>
        </w:rPr>
        <w:t>d</w:t>
      </w:r>
      <w:r>
        <w:rPr>
          <w:rFonts w:cs="Arial"/>
          <w:sz w:val="22"/>
          <w:szCs w:val="22"/>
        </w:rPr>
        <w:t xml:space="preserve"> change in balance from more practical, or applied learning that may have occurred in the past for Home Economics, becoming more theoretical</w:t>
      </w:r>
      <w:r w:rsidR="001D2DB0">
        <w:rPr>
          <w:rFonts w:cs="Arial"/>
          <w:sz w:val="22"/>
          <w:szCs w:val="22"/>
        </w:rPr>
        <w:t xml:space="preserve">. </w:t>
      </w:r>
    </w:p>
    <w:p w14:paraId="3B75F8C5" w14:textId="2766C2F3" w:rsidR="00A21D89" w:rsidRDefault="00A21D89" w:rsidP="00612150">
      <w:pPr>
        <w:pStyle w:val="BodyText"/>
        <w:ind w:left="709"/>
        <w:rPr>
          <w:rFonts w:cs="Arial"/>
          <w:sz w:val="22"/>
          <w:szCs w:val="22"/>
        </w:rPr>
      </w:pPr>
    </w:p>
    <w:p w14:paraId="2C51A40B" w14:textId="77777777" w:rsidR="00A21D89" w:rsidRDefault="00A21D89" w:rsidP="00612150">
      <w:pPr>
        <w:pStyle w:val="BodyText"/>
        <w:ind w:left="709"/>
        <w:rPr>
          <w:rFonts w:cs="Arial"/>
          <w:sz w:val="22"/>
          <w:szCs w:val="22"/>
        </w:rPr>
      </w:pPr>
    </w:p>
    <w:p w14:paraId="19BF14D7" w14:textId="5C372FCC" w:rsidR="00843FBA" w:rsidRDefault="00843FBA" w:rsidP="00843FBA">
      <w:pPr>
        <w:pStyle w:val="BodyText"/>
        <w:numPr>
          <w:ilvl w:val="0"/>
          <w:numId w:val="44"/>
        </w:numPr>
        <w:rPr>
          <w:rFonts w:cs="Arial"/>
          <w:b/>
          <w:bCs/>
          <w:i/>
          <w:iCs/>
          <w:sz w:val="22"/>
          <w:szCs w:val="22"/>
        </w:rPr>
      </w:pPr>
      <w:r w:rsidRPr="00843FBA">
        <w:rPr>
          <w:rFonts w:cs="Arial"/>
          <w:b/>
          <w:bCs/>
          <w:i/>
          <w:iCs/>
          <w:sz w:val="22"/>
          <w:szCs w:val="22"/>
        </w:rPr>
        <w:t>Exclusion and/or disadvantage of some ākonga</w:t>
      </w:r>
    </w:p>
    <w:p w14:paraId="6D42EB22" w14:textId="32252156" w:rsidR="007F75F3" w:rsidRDefault="007F75F3" w:rsidP="00843FBA">
      <w:pPr>
        <w:pStyle w:val="BodyText"/>
        <w:ind w:left="720"/>
        <w:rPr>
          <w:rFonts w:cs="Arial"/>
          <w:sz w:val="22"/>
          <w:szCs w:val="22"/>
        </w:rPr>
      </w:pPr>
      <w:r>
        <w:rPr>
          <w:rFonts w:cs="Arial"/>
          <w:sz w:val="22"/>
          <w:szCs w:val="22"/>
        </w:rPr>
        <w:t>There w</w:t>
      </w:r>
      <w:r w:rsidR="00F03E70">
        <w:rPr>
          <w:rFonts w:cs="Arial"/>
          <w:sz w:val="22"/>
          <w:szCs w:val="22"/>
        </w:rPr>
        <w:t>as</w:t>
      </w:r>
      <w:r>
        <w:rPr>
          <w:rFonts w:cs="Arial"/>
          <w:sz w:val="22"/>
          <w:szCs w:val="22"/>
        </w:rPr>
        <w:t xml:space="preserve"> a range of views on how explicitly different groups needed to be included in the draft products for Health Education (with Home Economics), and whether particular framing or wording of the draft materials could be seen as excluding some ākonga.</w:t>
      </w:r>
    </w:p>
    <w:p w14:paraId="23B93214" w14:textId="2D1B27E1" w:rsidR="007F75F3" w:rsidRDefault="007F75F3" w:rsidP="007F75F3">
      <w:pPr>
        <w:pStyle w:val="BodyText"/>
        <w:ind w:left="709"/>
        <w:rPr>
          <w:rFonts w:cs="Arial"/>
          <w:sz w:val="22"/>
          <w:szCs w:val="22"/>
        </w:rPr>
      </w:pPr>
      <w:r>
        <w:rPr>
          <w:rFonts w:cs="Arial"/>
          <w:sz w:val="22"/>
          <w:szCs w:val="22"/>
        </w:rPr>
        <w:t xml:space="preserve">There was also general concern that </w:t>
      </w:r>
      <w:r w:rsidRPr="00FF5127">
        <w:rPr>
          <w:rFonts w:cs="Arial"/>
          <w:sz w:val="22"/>
          <w:szCs w:val="22"/>
        </w:rPr>
        <w:t xml:space="preserve">there will be a gender </w:t>
      </w:r>
      <w:r w:rsidR="00F03E70">
        <w:rPr>
          <w:rFonts w:cs="Arial"/>
          <w:sz w:val="22"/>
          <w:szCs w:val="22"/>
        </w:rPr>
        <w:t>e</w:t>
      </w:r>
      <w:r w:rsidRPr="00FF5127">
        <w:rPr>
          <w:rFonts w:cs="Arial"/>
          <w:sz w:val="22"/>
          <w:szCs w:val="22"/>
        </w:rPr>
        <w:t>ffect</w:t>
      </w:r>
      <w:r>
        <w:rPr>
          <w:rFonts w:cs="Arial"/>
          <w:sz w:val="22"/>
          <w:szCs w:val="22"/>
        </w:rPr>
        <w:t xml:space="preserve"> from the consolidation of two subjects. This view was that girls will be disadvantaged because they would commonly choose </w:t>
      </w:r>
      <w:r w:rsidRPr="00FF5127">
        <w:rPr>
          <w:rFonts w:cs="Arial"/>
          <w:sz w:val="22"/>
          <w:szCs w:val="22"/>
        </w:rPr>
        <w:t>both health education and home economics</w:t>
      </w:r>
      <w:r>
        <w:rPr>
          <w:rFonts w:cs="Arial"/>
          <w:sz w:val="22"/>
          <w:szCs w:val="22"/>
        </w:rPr>
        <w:t xml:space="preserve">, and now they only </w:t>
      </w:r>
      <w:r w:rsidRPr="00FF5127">
        <w:rPr>
          <w:rFonts w:cs="Arial"/>
          <w:sz w:val="22"/>
          <w:szCs w:val="22"/>
        </w:rPr>
        <w:t>have one subject to choose from</w:t>
      </w:r>
      <w:r>
        <w:rPr>
          <w:rFonts w:cs="Arial"/>
          <w:sz w:val="22"/>
          <w:szCs w:val="22"/>
        </w:rPr>
        <w:t xml:space="preserve">. </w:t>
      </w:r>
    </w:p>
    <w:p w14:paraId="23B76CBE" w14:textId="7293B83D" w:rsidR="00843FBA" w:rsidRPr="00FF5127" w:rsidRDefault="00843FBA" w:rsidP="00843FBA">
      <w:pPr>
        <w:pStyle w:val="BodyText"/>
        <w:ind w:left="720"/>
        <w:rPr>
          <w:rFonts w:cs="Arial"/>
          <w:sz w:val="22"/>
          <w:szCs w:val="22"/>
        </w:rPr>
      </w:pPr>
      <w:r w:rsidRPr="00FF5127">
        <w:rPr>
          <w:rFonts w:cs="Arial"/>
          <w:sz w:val="22"/>
          <w:szCs w:val="22"/>
        </w:rPr>
        <w:lastRenderedPageBreak/>
        <w:t xml:space="preserve">There </w:t>
      </w:r>
      <w:r w:rsidR="007F75F3">
        <w:rPr>
          <w:rFonts w:cs="Arial"/>
          <w:sz w:val="22"/>
          <w:szCs w:val="22"/>
        </w:rPr>
        <w:t xml:space="preserve">was also concern </w:t>
      </w:r>
      <w:r w:rsidR="00F03E70">
        <w:rPr>
          <w:rFonts w:cs="Arial"/>
          <w:sz w:val="22"/>
          <w:szCs w:val="22"/>
        </w:rPr>
        <w:t>about</w:t>
      </w:r>
      <w:r w:rsidR="007F75F3">
        <w:rPr>
          <w:rFonts w:cs="Arial"/>
          <w:sz w:val="22"/>
          <w:szCs w:val="22"/>
        </w:rPr>
        <w:t xml:space="preserve"> the format for </w:t>
      </w:r>
      <w:proofErr w:type="gramStart"/>
      <w:r w:rsidRPr="00FF5127">
        <w:rPr>
          <w:rFonts w:cs="Arial"/>
          <w:sz w:val="22"/>
          <w:szCs w:val="22"/>
        </w:rPr>
        <w:t>externally-assessed</w:t>
      </w:r>
      <w:proofErr w:type="gramEnd"/>
      <w:r w:rsidRPr="00FF5127">
        <w:rPr>
          <w:rFonts w:cs="Arial"/>
          <w:sz w:val="22"/>
          <w:szCs w:val="22"/>
        </w:rPr>
        <w:t xml:space="preserve"> standards</w:t>
      </w:r>
      <w:r w:rsidR="007F75F3">
        <w:rPr>
          <w:rFonts w:cs="Arial"/>
          <w:sz w:val="22"/>
          <w:szCs w:val="22"/>
        </w:rPr>
        <w:t>.</w:t>
      </w:r>
      <w:r w:rsidR="007F75F3" w:rsidRPr="007F75F3">
        <w:rPr>
          <w:rFonts w:cs="Arial"/>
          <w:sz w:val="22"/>
          <w:szCs w:val="22"/>
        </w:rPr>
        <w:t xml:space="preserve"> </w:t>
      </w:r>
      <w:r w:rsidR="007F75F3">
        <w:rPr>
          <w:rFonts w:cs="Arial"/>
          <w:sz w:val="22"/>
          <w:szCs w:val="22"/>
        </w:rPr>
        <w:t xml:space="preserve">There were some comments that a format that requires a lot of time and/or technological resourcing to provide evidence could </w:t>
      </w:r>
      <w:r w:rsidR="007F75F3" w:rsidRPr="00FF5127">
        <w:rPr>
          <w:rFonts w:cs="Arial"/>
          <w:sz w:val="22"/>
          <w:szCs w:val="22"/>
        </w:rPr>
        <w:t xml:space="preserve">disadvantage some </w:t>
      </w:r>
      <w:r w:rsidR="008E0780">
        <w:rPr>
          <w:rFonts w:cs="Arial"/>
          <w:sz w:val="22"/>
          <w:szCs w:val="22"/>
        </w:rPr>
        <w:t>ākonga</w:t>
      </w:r>
      <w:r w:rsidR="007F75F3">
        <w:rPr>
          <w:rFonts w:cs="Arial"/>
          <w:sz w:val="22"/>
          <w:szCs w:val="22"/>
        </w:rPr>
        <w:t xml:space="preserve"> who don’t have access to those resources.</w:t>
      </w:r>
      <w:r w:rsidR="007F75F3" w:rsidRPr="00FF5127">
        <w:rPr>
          <w:rFonts w:cs="Arial"/>
          <w:sz w:val="22"/>
          <w:szCs w:val="22"/>
        </w:rPr>
        <w:t xml:space="preserve"> </w:t>
      </w:r>
      <w:r w:rsidR="007F75F3">
        <w:rPr>
          <w:rFonts w:cs="Arial"/>
          <w:sz w:val="22"/>
          <w:szCs w:val="22"/>
        </w:rPr>
        <w:t>One survey respondent commented that exams would disadvantage Māori and Pacific learners, but no detail was provided about how or where that disadvantage would occur.</w:t>
      </w:r>
    </w:p>
    <w:p w14:paraId="2E7066E0" w14:textId="174B9B47" w:rsidR="00FF5127" w:rsidRPr="00FF5127" w:rsidRDefault="00FF5127" w:rsidP="00843FBA">
      <w:pPr>
        <w:pStyle w:val="BodyText"/>
        <w:ind w:left="720"/>
        <w:rPr>
          <w:rFonts w:cs="Arial"/>
          <w:sz w:val="22"/>
          <w:szCs w:val="22"/>
        </w:rPr>
      </w:pPr>
      <w:r w:rsidRPr="00FF5127">
        <w:rPr>
          <w:rFonts w:cs="Arial"/>
          <w:sz w:val="22"/>
          <w:szCs w:val="22"/>
        </w:rPr>
        <w:t xml:space="preserve">There </w:t>
      </w:r>
      <w:r w:rsidR="00853848">
        <w:rPr>
          <w:rFonts w:cs="Arial"/>
          <w:sz w:val="22"/>
          <w:szCs w:val="22"/>
        </w:rPr>
        <w:t xml:space="preserve">was also suggestion from various feedback sources that the subject’s products and content need to </w:t>
      </w:r>
      <w:proofErr w:type="gramStart"/>
      <w:r w:rsidR="00853848">
        <w:rPr>
          <w:rFonts w:cs="Arial"/>
          <w:sz w:val="22"/>
          <w:szCs w:val="22"/>
        </w:rPr>
        <w:t xml:space="preserve">more explicitly </w:t>
      </w:r>
      <w:r w:rsidRPr="00FF5127">
        <w:rPr>
          <w:rFonts w:cs="Arial"/>
          <w:sz w:val="22"/>
          <w:szCs w:val="22"/>
        </w:rPr>
        <w:t>represent</w:t>
      </w:r>
      <w:proofErr w:type="gramEnd"/>
      <w:r w:rsidR="00853848">
        <w:rPr>
          <w:rFonts w:cs="Arial"/>
          <w:sz w:val="22"/>
          <w:szCs w:val="22"/>
        </w:rPr>
        <w:t xml:space="preserve">, and be inclusive of, disabled learners, </w:t>
      </w:r>
      <w:r w:rsidRPr="00FF5127">
        <w:rPr>
          <w:rFonts w:cs="Arial"/>
          <w:sz w:val="22"/>
          <w:szCs w:val="22"/>
        </w:rPr>
        <w:t xml:space="preserve">LGBTQ populations and neurodivergent </w:t>
      </w:r>
      <w:r w:rsidR="00853848">
        <w:rPr>
          <w:rFonts w:cs="Arial"/>
          <w:sz w:val="22"/>
          <w:szCs w:val="22"/>
        </w:rPr>
        <w:t xml:space="preserve">ākonga. </w:t>
      </w:r>
    </w:p>
    <w:p w14:paraId="7A9D5333" w14:textId="77777777" w:rsidR="00FF5127" w:rsidRPr="00FF5127" w:rsidRDefault="00FF5127" w:rsidP="00FF5127">
      <w:pPr>
        <w:pStyle w:val="Heading2"/>
        <w:rPr>
          <w:rFonts w:cs="Arial"/>
          <w:sz w:val="22"/>
          <w:szCs w:val="22"/>
        </w:rPr>
      </w:pPr>
      <w:bookmarkStart w:id="6" w:name="_Toc84579028"/>
      <w:r w:rsidRPr="00FF5127">
        <w:rPr>
          <w:rFonts w:cs="Arial"/>
          <w:sz w:val="22"/>
          <w:szCs w:val="22"/>
        </w:rPr>
        <w:t>Sources of Feedback</w:t>
      </w:r>
      <w:bookmarkEnd w:id="6"/>
    </w:p>
    <w:p w14:paraId="5BB66C21" w14:textId="37708C84" w:rsidR="00FF5127" w:rsidRPr="00FF5127" w:rsidRDefault="002A6A68" w:rsidP="00FF5127">
      <w:pPr>
        <w:pStyle w:val="Heading4"/>
        <w:rPr>
          <w:rFonts w:cs="Arial"/>
          <w:sz w:val="22"/>
          <w:szCs w:val="22"/>
        </w:rPr>
      </w:pPr>
      <w:r>
        <w:rPr>
          <w:rFonts w:cs="Arial"/>
          <w:sz w:val="22"/>
          <w:szCs w:val="22"/>
        </w:rPr>
        <w:t>Online public engagement survey</w:t>
      </w:r>
    </w:p>
    <w:p w14:paraId="7E724948" w14:textId="1E4E0298" w:rsidR="002E52E4" w:rsidRPr="000714CC" w:rsidRDefault="002E52E4" w:rsidP="002E52E4">
      <w:pPr>
        <w:pStyle w:val="BodyText"/>
        <w:rPr>
          <w:sz w:val="22"/>
          <w:szCs w:val="22"/>
        </w:rPr>
      </w:pPr>
      <w:r w:rsidRPr="000714CC">
        <w:rPr>
          <w:sz w:val="22"/>
          <w:szCs w:val="22"/>
        </w:rPr>
        <w:t>Below are the quantitative data questions summarised in graphs.</w:t>
      </w:r>
    </w:p>
    <w:p w14:paraId="46C96834" w14:textId="77777777" w:rsidR="00FF5127" w:rsidRPr="00FF5127" w:rsidRDefault="00FF5127" w:rsidP="00FF5127">
      <w:pPr>
        <w:pStyle w:val="BodyText"/>
        <w:rPr>
          <w:rFonts w:cs="Arial"/>
          <w:sz w:val="22"/>
          <w:szCs w:val="22"/>
        </w:rPr>
      </w:pPr>
      <w:r w:rsidRPr="00FF5127">
        <w:rPr>
          <w:rFonts w:cs="Arial"/>
          <w:noProof/>
          <w:sz w:val="22"/>
          <w:szCs w:val="22"/>
        </w:rPr>
        <w:drawing>
          <wp:inline distT="0" distB="0" distL="0" distR="0" wp14:anchorId="7D8CD066" wp14:editId="1E23D61D">
            <wp:extent cx="2806700" cy="2133600"/>
            <wp:effectExtent l="0" t="0" r="12700" b="0"/>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F5127">
        <w:rPr>
          <w:rFonts w:cs="Arial"/>
          <w:sz w:val="22"/>
          <w:szCs w:val="22"/>
        </w:rPr>
        <w:t xml:space="preserve">            </w:t>
      </w:r>
      <w:r w:rsidRPr="00FF5127">
        <w:rPr>
          <w:rFonts w:cs="Arial"/>
          <w:noProof/>
          <w:sz w:val="22"/>
          <w:szCs w:val="22"/>
        </w:rPr>
        <w:drawing>
          <wp:inline distT="0" distB="0" distL="0" distR="0" wp14:anchorId="5FD9D027" wp14:editId="42135C28">
            <wp:extent cx="2711450" cy="2117725"/>
            <wp:effectExtent l="0" t="0" r="12700" b="15875"/>
            <wp:docPr id="11" name="Chart 11">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AF8036" w14:textId="77777777" w:rsidR="00FF5127" w:rsidRPr="00FF5127" w:rsidRDefault="00FF5127" w:rsidP="00FF5127">
      <w:pPr>
        <w:pStyle w:val="BodyText"/>
        <w:rPr>
          <w:rFonts w:cs="Arial"/>
          <w:sz w:val="22"/>
          <w:szCs w:val="22"/>
        </w:rPr>
      </w:pPr>
      <w:r w:rsidRPr="00FF5127">
        <w:rPr>
          <w:rFonts w:cs="Arial"/>
          <w:noProof/>
          <w:sz w:val="22"/>
          <w:szCs w:val="22"/>
        </w:rPr>
        <w:drawing>
          <wp:inline distT="0" distB="0" distL="0" distR="0" wp14:anchorId="7BC34B43" wp14:editId="0E2B364A">
            <wp:extent cx="2832100" cy="2051050"/>
            <wp:effectExtent l="0" t="0" r="6350" b="6350"/>
            <wp:docPr id="12" name="Chart 12">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F5127">
        <w:rPr>
          <w:rFonts w:cs="Arial"/>
          <w:sz w:val="22"/>
          <w:szCs w:val="22"/>
        </w:rPr>
        <w:t xml:space="preserve">            </w:t>
      </w:r>
      <w:r w:rsidRPr="00FF5127">
        <w:rPr>
          <w:rFonts w:cs="Arial"/>
          <w:noProof/>
          <w:sz w:val="22"/>
          <w:szCs w:val="22"/>
        </w:rPr>
        <w:drawing>
          <wp:inline distT="0" distB="0" distL="0" distR="0" wp14:anchorId="2ACE6C8E" wp14:editId="4C275BDA">
            <wp:extent cx="2698750" cy="2051050"/>
            <wp:effectExtent l="0" t="0" r="6350" b="6350"/>
            <wp:docPr id="13" name="Chart 13">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D671FB" w14:textId="77777777" w:rsidR="00FF5127" w:rsidRPr="00FF5127" w:rsidRDefault="00FF5127" w:rsidP="00FF5127">
      <w:pPr>
        <w:pStyle w:val="BodyText"/>
        <w:rPr>
          <w:rFonts w:cs="Arial"/>
          <w:sz w:val="22"/>
          <w:szCs w:val="22"/>
        </w:rPr>
      </w:pPr>
      <w:r w:rsidRPr="00FF5127">
        <w:rPr>
          <w:rFonts w:cs="Arial"/>
          <w:noProof/>
          <w:sz w:val="22"/>
          <w:szCs w:val="22"/>
        </w:rPr>
        <w:lastRenderedPageBreak/>
        <w:drawing>
          <wp:inline distT="0" distB="0" distL="0" distR="0" wp14:anchorId="1CFB92FD" wp14:editId="7A42B0C0">
            <wp:extent cx="2825750" cy="2311400"/>
            <wp:effectExtent l="0" t="0" r="12700" b="12700"/>
            <wp:docPr id="14" name="Chart 14">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F5127">
        <w:rPr>
          <w:rFonts w:cs="Arial"/>
          <w:sz w:val="22"/>
          <w:szCs w:val="22"/>
        </w:rPr>
        <w:t xml:space="preserve">             </w:t>
      </w:r>
      <w:r w:rsidRPr="00FF5127">
        <w:rPr>
          <w:rFonts w:cs="Arial"/>
          <w:noProof/>
          <w:sz w:val="22"/>
          <w:szCs w:val="22"/>
        </w:rPr>
        <w:drawing>
          <wp:inline distT="0" distB="0" distL="0" distR="0" wp14:anchorId="6B83A278" wp14:editId="33FCC503">
            <wp:extent cx="2654300" cy="2279650"/>
            <wp:effectExtent l="0" t="0" r="12700" b="6350"/>
            <wp:docPr id="15" name="Chart 15">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1A3BB9" w14:textId="77777777" w:rsidR="00A21D89" w:rsidRDefault="00A21D89" w:rsidP="00FF5127">
      <w:pPr>
        <w:pStyle w:val="BodyText"/>
        <w:rPr>
          <w:rFonts w:cs="Arial"/>
          <w:sz w:val="22"/>
          <w:szCs w:val="22"/>
        </w:rPr>
      </w:pPr>
    </w:p>
    <w:p w14:paraId="1F7DF8B2" w14:textId="58082257" w:rsidR="002E52E4" w:rsidRDefault="00141A74" w:rsidP="00FF5127">
      <w:pPr>
        <w:pStyle w:val="BodyText"/>
        <w:rPr>
          <w:rFonts w:cs="Arial"/>
          <w:sz w:val="22"/>
          <w:szCs w:val="22"/>
        </w:rPr>
      </w:pPr>
      <w:r>
        <w:rPr>
          <w:rFonts w:cs="Arial"/>
          <w:sz w:val="22"/>
          <w:szCs w:val="22"/>
        </w:rPr>
        <w:t xml:space="preserve">In general, </w:t>
      </w:r>
      <w:r w:rsidR="001D2DB0">
        <w:rPr>
          <w:rFonts w:cs="Arial"/>
          <w:sz w:val="22"/>
          <w:szCs w:val="22"/>
        </w:rPr>
        <w:t xml:space="preserve">survey respondents </w:t>
      </w:r>
      <w:r>
        <w:rPr>
          <w:rFonts w:cs="Arial"/>
          <w:sz w:val="22"/>
          <w:szCs w:val="22"/>
        </w:rPr>
        <w:t xml:space="preserve">are of the view that Health Education (with Home Economics) is not yet a cohesive subject, and </w:t>
      </w:r>
      <w:r w:rsidR="001D2DB0">
        <w:rPr>
          <w:rFonts w:cs="Arial"/>
          <w:sz w:val="22"/>
          <w:szCs w:val="22"/>
        </w:rPr>
        <w:t xml:space="preserve">the </w:t>
      </w:r>
      <w:r w:rsidR="002A6A68">
        <w:rPr>
          <w:rFonts w:cs="Arial"/>
          <w:sz w:val="22"/>
          <w:szCs w:val="22"/>
        </w:rPr>
        <w:t xml:space="preserve">draft materials </w:t>
      </w:r>
      <w:r w:rsidR="001D2DB0">
        <w:rPr>
          <w:rFonts w:cs="Arial"/>
          <w:sz w:val="22"/>
          <w:szCs w:val="22"/>
        </w:rPr>
        <w:t xml:space="preserve">are not </w:t>
      </w:r>
      <w:r w:rsidR="00660CED">
        <w:rPr>
          <w:rFonts w:cs="Arial"/>
          <w:sz w:val="22"/>
          <w:szCs w:val="22"/>
        </w:rPr>
        <w:t xml:space="preserve">developed </w:t>
      </w:r>
      <w:r w:rsidR="002A6A68">
        <w:rPr>
          <w:rFonts w:cs="Arial"/>
          <w:sz w:val="22"/>
          <w:szCs w:val="22"/>
        </w:rPr>
        <w:t xml:space="preserve">well </w:t>
      </w:r>
      <w:r w:rsidR="00660CED">
        <w:rPr>
          <w:rFonts w:cs="Arial"/>
          <w:sz w:val="22"/>
          <w:szCs w:val="22"/>
        </w:rPr>
        <w:t xml:space="preserve">enough </w:t>
      </w:r>
      <w:r w:rsidR="001D2DB0">
        <w:rPr>
          <w:rFonts w:cs="Arial"/>
          <w:sz w:val="22"/>
          <w:szCs w:val="22"/>
        </w:rPr>
        <w:t>for teachers to use.</w:t>
      </w:r>
    </w:p>
    <w:p w14:paraId="4C43505B" w14:textId="58512E10" w:rsidR="002E52E4" w:rsidRPr="002E52E4" w:rsidRDefault="001D2DB0" w:rsidP="002E52E4">
      <w:pPr>
        <w:pStyle w:val="BodyText"/>
        <w:rPr>
          <w:rFonts w:cs="Arial"/>
          <w:sz w:val="22"/>
          <w:szCs w:val="22"/>
        </w:rPr>
      </w:pPr>
      <w:r>
        <w:rPr>
          <w:rFonts w:cs="Arial"/>
          <w:sz w:val="22"/>
          <w:szCs w:val="22"/>
        </w:rPr>
        <w:t>The data does suggest that there is b</w:t>
      </w:r>
      <w:r w:rsidR="002E52E4" w:rsidRPr="002E52E4">
        <w:rPr>
          <w:rFonts w:cs="Arial"/>
          <w:sz w:val="22"/>
          <w:szCs w:val="22"/>
        </w:rPr>
        <w:t xml:space="preserve">road </w:t>
      </w:r>
      <w:r>
        <w:rPr>
          <w:rFonts w:cs="Arial"/>
          <w:sz w:val="22"/>
          <w:szCs w:val="22"/>
        </w:rPr>
        <w:t xml:space="preserve">sector </w:t>
      </w:r>
      <w:r w:rsidR="002E52E4" w:rsidRPr="002E52E4">
        <w:rPr>
          <w:rFonts w:cs="Arial"/>
          <w:sz w:val="22"/>
          <w:szCs w:val="22"/>
        </w:rPr>
        <w:t xml:space="preserve">support for use of Māori concepts and kupu in </w:t>
      </w:r>
      <w:r>
        <w:rPr>
          <w:rFonts w:cs="Arial"/>
          <w:sz w:val="22"/>
          <w:szCs w:val="22"/>
        </w:rPr>
        <w:t>the Health Education (with Home Economics) materials, including a</w:t>
      </w:r>
      <w:r w:rsidR="002E52E4" w:rsidRPr="002E52E4">
        <w:rPr>
          <w:rFonts w:cs="Arial"/>
          <w:sz w:val="22"/>
          <w:szCs w:val="22"/>
        </w:rPr>
        <w:t>pproval of how the concept of hauora has been incorporated</w:t>
      </w:r>
      <w:r w:rsidR="0039383A">
        <w:rPr>
          <w:rFonts w:cs="Arial"/>
          <w:sz w:val="22"/>
          <w:szCs w:val="22"/>
        </w:rPr>
        <w:t xml:space="preserve"> throughout the Learning Matrix and course outline. </w:t>
      </w:r>
    </w:p>
    <w:p w14:paraId="54753817" w14:textId="06468C40" w:rsidR="0039383A" w:rsidRDefault="0039383A" w:rsidP="002E52E4">
      <w:pPr>
        <w:pStyle w:val="BodyText"/>
        <w:rPr>
          <w:rFonts w:cs="Arial"/>
          <w:sz w:val="22"/>
          <w:szCs w:val="22"/>
        </w:rPr>
      </w:pPr>
      <w:r>
        <w:rPr>
          <w:rFonts w:cs="Arial"/>
          <w:sz w:val="22"/>
          <w:szCs w:val="22"/>
        </w:rPr>
        <w:t>The</w:t>
      </w:r>
      <w:r w:rsidR="008D3411">
        <w:rPr>
          <w:rFonts w:cs="Arial"/>
          <w:sz w:val="22"/>
          <w:szCs w:val="22"/>
        </w:rPr>
        <w:t>re are four</w:t>
      </w:r>
      <w:r>
        <w:rPr>
          <w:rFonts w:cs="Arial"/>
          <w:sz w:val="22"/>
          <w:szCs w:val="22"/>
        </w:rPr>
        <w:t xml:space="preserve"> main areas of comment survey</w:t>
      </w:r>
      <w:r w:rsidR="00BE038D">
        <w:rPr>
          <w:rFonts w:cs="Arial"/>
          <w:sz w:val="22"/>
          <w:szCs w:val="22"/>
        </w:rPr>
        <w:t xml:space="preserve"> respondents</w:t>
      </w:r>
      <w:r>
        <w:rPr>
          <w:rFonts w:cs="Arial"/>
          <w:sz w:val="22"/>
          <w:szCs w:val="22"/>
        </w:rPr>
        <w:t>, which are reflected in the quantitative data</w:t>
      </w:r>
      <w:r w:rsidR="008D3411">
        <w:rPr>
          <w:rFonts w:cs="Arial"/>
          <w:sz w:val="22"/>
          <w:szCs w:val="22"/>
        </w:rPr>
        <w:t>:</w:t>
      </w:r>
    </w:p>
    <w:p w14:paraId="0536F02E" w14:textId="47F1FBC9" w:rsidR="0039383A" w:rsidRDefault="0039383A" w:rsidP="0039383A">
      <w:pPr>
        <w:pStyle w:val="BodyText"/>
        <w:numPr>
          <w:ilvl w:val="0"/>
          <w:numId w:val="45"/>
        </w:numPr>
        <w:rPr>
          <w:rFonts w:cs="Arial"/>
          <w:sz w:val="22"/>
          <w:szCs w:val="22"/>
        </w:rPr>
      </w:pPr>
      <w:r>
        <w:rPr>
          <w:rFonts w:cs="Arial"/>
          <w:sz w:val="22"/>
          <w:szCs w:val="22"/>
        </w:rPr>
        <w:t>While there was general support for the inclusion of mātauranga Māori in this subject</w:t>
      </w:r>
      <w:r w:rsidR="00F03E70">
        <w:rPr>
          <w:rFonts w:cs="Arial"/>
          <w:sz w:val="22"/>
          <w:szCs w:val="22"/>
        </w:rPr>
        <w:t>’s</w:t>
      </w:r>
      <w:r>
        <w:rPr>
          <w:rFonts w:cs="Arial"/>
          <w:sz w:val="22"/>
          <w:szCs w:val="22"/>
        </w:rPr>
        <w:t xml:space="preserve"> materials, there was significant concern from survey respondents that </w:t>
      </w:r>
      <w:r w:rsidRPr="00FF5127">
        <w:rPr>
          <w:rFonts w:cs="Arial"/>
          <w:sz w:val="22"/>
          <w:szCs w:val="22"/>
        </w:rPr>
        <w:t xml:space="preserve">teachers </w:t>
      </w:r>
      <w:r>
        <w:rPr>
          <w:rFonts w:cs="Arial"/>
          <w:sz w:val="22"/>
          <w:szCs w:val="22"/>
        </w:rPr>
        <w:t xml:space="preserve">will need ongoing training and professional development to be able to apply </w:t>
      </w:r>
      <w:r w:rsidRPr="00FF5127">
        <w:rPr>
          <w:rFonts w:cs="Arial"/>
          <w:sz w:val="22"/>
          <w:szCs w:val="22"/>
        </w:rPr>
        <w:t xml:space="preserve">mātauranga Māori </w:t>
      </w:r>
      <w:r>
        <w:rPr>
          <w:rFonts w:cs="Arial"/>
          <w:sz w:val="22"/>
          <w:szCs w:val="22"/>
        </w:rPr>
        <w:t xml:space="preserve">in classrooms in a meaningful way. </w:t>
      </w:r>
    </w:p>
    <w:p w14:paraId="56D23562" w14:textId="23AE5693" w:rsidR="008D3411" w:rsidRPr="008D3411" w:rsidRDefault="00A85E8F" w:rsidP="00214F1D">
      <w:pPr>
        <w:pStyle w:val="BodyText"/>
        <w:numPr>
          <w:ilvl w:val="0"/>
          <w:numId w:val="45"/>
        </w:numPr>
        <w:rPr>
          <w:sz w:val="22"/>
          <w:szCs w:val="22"/>
        </w:rPr>
      </w:pPr>
      <w:r>
        <w:rPr>
          <w:rFonts w:cs="Arial"/>
          <w:sz w:val="22"/>
          <w:szCs w:val="22"/>
        </w:rPr>
        <w:t>T</w:t>
      </w:r>
      <w:r w:rsidR="008D3411" w:rsidRPr="008D3411">
        <w:rPr>
          <w:rFonts w:cs="Arial"/>
          <w:sz w:val="22"/>
          <w:szCs w:val="22"/>
        </w:rPr>
        <w:t>eachers from Health Education and Home Economics background do not yet have enough knowledge and training to be able to deliver the proposed content ade</w:t>
      </w:r>
      <w:r w:rsidR="008D3411">
        <w:rPr>
          <w:rFonts w:cs="Arial"/>
          <w:sz w:val="22"/>
          <w:szCs w:val="22"/>
        </w:rPr>
        <w:t>quately, particularly given the sensitivity of some contexts and topics</w:t>
      </w:r>
      <w:r w:rsidR="009A254B">
        <w:rPr>
          <w:rFonts w:cs="Arial"/>
          <w:sz w:val="22"/>
          <w:szCs w:val="22"/>
        </w:rPr>
        <w:t>, such as sexuality and relationships</w:t>
      </w:r>
      <w:r w:rsidR="008D3411">
        <w:rPr>
          <w:rFonts w:cs="Arial"/>
          <w:sz w:val="22"/>
          <w:szCs w:val="22"/>
        </w:rPr>
        <w:t>.</w:t>
      </w:r>
    </w:p>
    <w:p w14:paraId="26E3F679" w14:textId="206C34FA" w:rsidR="008D3411" w:rsidRPr="008D3411" w:rsidRDefault="008D3411" w:rsidP="00214F1D">
      <w:pPr>
        <w:pStyle w:val="BodyText"/>
        <w:numPr>
          <w:ilvl w:val="0"/>
          <w:numId w:val="45"/>
        </w:numPr>
        <w:rPr>
          <w:sz w:val="22"/>
          <w:szCs w:val="22"/>
        </w:rPr>
      </w:pPr>
      <w:r w:rsidRPr="008D3411">
        <w:rPr>
          <w:rFonts w:cs="Arial"/>
          <w:sz w:val="22"/>
          <w:szCs w:val="22"/>
        </w:rPr>
        <w:t xml:space="preserve">The draft subject materials do not yet present a cohesive subject, and </w:t>
      </w:r>
      <w:r>
        <w:rPr>
          <w:rFonts w:cs="Arial"/>
          <w:sz w:val="22"/>
          <w:szCs w:val="22"/>
        </w:rPr>
        <w:t xml:space="preserve">food and nutrition </w:t>
      </w:r>
      <w:r w:rsidR="00693967">
        <w:rPr>
          <w:rFonts w:cs="Arial"/>
          <w:sz w:val="22"/>
          <w:szCs w:val="22"/>
        </w:rPr>
        <w:t>are</w:t>
      </w:r>
      <w:r>
        <w:rPr>
          <w:rFonts w:cs="Arial"/>
          <w:sz w:val="22"/>
          <w:szCs w:val="22"/>
        </w:rPr>
        <w:t xml:space="preserve"> not visible enough in the Learning Matrix, </w:t>
      </w:r>
      <w:r w:rsidR="009A254B">
        <w:rPr>
          <w:rFonts w:cs="Arial"/>
          <w:sz w:val="22"/>
          <w:szCs w:val="22"/>
        </w:rPr>
        <w:t>the ‘Learning’ content on the website</w:t>
      </w:r>
      <w:r>
        <w:rPr>
          <w:rFonts w:cs="Arial"/>
          <w:sz w:val="22"/>
          <w:szCs w:val="22"/>
        </w:rPr>
        <w:t xml:space="preserve"> or </w:t>
      </w:r>
      <w:r w:rsidR="009A254B">
        <w:rPr>
          <w:rFonts w:cs="Arial"/>
          <w:sz w:val="22"/>
          <w:szCs w:val="22"/>
        </w:rPr>
        <w:t xml:space="preserve">the example </w:t>
      </w:r>
      <w:r>
        <w:rPr>
          <w:rFonts w:cs="Arial"/>
          <w:sz w:val="22"/>
          <w:szCs w:val="22"/>
        </w:rPr>
        <w:t>course outline.</w:t>
      </w:r>
    </w:p>
    <w:p w14:paraId="09A7A22A" w14:textId="73124537" w:rsidR="008D3411" w:rsidRPr="008D3411" w:rsidRDefault="008D3411" w:rsidP="00214F1D">
      <w:pPr>
        <w:pStyle w:val="BodyText"/>
        <w:numPr>
          <w:ilvl w:val="0"/>
          <w:numId w:val="45"/>
        </w:numPr>
        <w:rPr>
          <w:sz w:val="22"/>
          <w:szCs w:val="22"/>
        </w:rPr>
      </w:pPr>
      <w:r>
        <w:rPr>
          <w:rFonts w:cs="Arial"/>
          <w:sz w:val="22"/>
          <w:szCs w:val="22"/>
        </w:rPr>
        <w:t xml:space="preserve">The proposed </w:t>
      </w:r>
      <w:r w:rsidR="00F03E70">
        <w:rPr>
          <w:rFonts w:cs="Arial"/>
          <w:sz w:val="22"/>
          <w:szCs w:val="22"/>
        </w:rPr>
        <w:t>S</w:t>
      </w:r>
      <w:r>
        <w:rPr>
          <w:rFonts w:cs="Arial"/>
          <w:sz w:val="22"/>
          <w:szCs w:val="22"/>
        </w:rPr>
        <w:t xml:space="preserve">ignificant </w:t>
      </w:r>
      <w:r w:rsidR="00F03E70">
        <w:rPr>
          <w:rFonts w:cs="Arial"/>
          <w:sz w:val="22"/>
          <w:szCs w:val="22"/>
        </w:rPr>
        <w:t>L</w:t>
      </w:r>
      <w:r>
        <w:rPr>
          <w:rFonts w:cs="Arial"/>
          <w:sz w:val="22"/>
          <w:szCs w:val="22"/>
        </w:rPr>
        <w:t xml:space="preserve">earning, standards and </w:t>
      </w:r>
      <w:r w:rsidR="00F03E70">
        <w:rPr>
          <w:rFonts w:cs="Arial"/>
          <w:sz w:val="22"/>
          <w:szCs w:val="22"/>
        </w:rPr>
        <w:t>C</w:t>
      </w:r>
      <w:r>
        <w:rPr>
          <w:rFonts w:cs="Arial"/>
          <w:sz w:val="22"/>
          <w:szCs w:val="22"/>
        </w:rPr>
        <w:t xml:space="preserve">ourse </w:t>
      </w:r>
      <w:r w:rsidR="00F03E70">
        <w:rPr>
          <w:rFonts w:cs="Arial"/>
          <w:sz w:val="22"/>
          <w:szCs w:val="22"/>
        </w:rPr>
        <w:t>O</w:t>
      </w:r>
      <w:r>
        <w:rPr>
          <w:rFonts w:cs="Arial"/>
          <w:sz w:val="22"/>
          <w:szCs w:val="22"/>
        </w:rPr>
        <w:t>utlines is too advanced for ākonga entering NCEA Level 1</w:t>
      </w:r>
      <w:r w:rsidR="00A85E8F">
        <w:rPr>
          <w:rFonts w:cs="Arial"/>
          <w:sz w:val="22"/>
          <w:szCs w:val="22"/>
        </w:rPr>
        <w:t>.</w:t>
      </w:r>
      <w:r w:rsidRPr="008D3411">
        <w:rPr>
          <w:rFonts w:cs="Arial"/>
          <w:sz w:val="22"/>
          <w:szCs w:val="22"/>
        </w:rPr>
        <w:t xml:space="preserve"> </w:t>
      </w:r>
    </w:p>
    <w:p w14:paraId="1C1E0381" w14:textId="21CC1590" w:rsidR="00A85E8F" w:rsidRDefault="00A85E8F" w:rsidP="008D3411">
      <w:pPr>
        <w:pStyle w:val="BodyText"/>
        <w:rPr>
          <w:sz w:val="22"/>
          <w:szCs w:val="22"/>
        </w:rPr>
      </w:pPr>
      <w:r>
        <w:rPr>
          <w:sz w:val="22"/>
          <w:szCs w:val="22"/>
        </w:rPr>
        <w:t>There was also concern from the survey respondents that these subject materials are being developed prior to the publication of the updated New Zealand Curriculum.</w:t>
      </w:r>
    </w:p>
    <w:p w14:paraId="14EA345F" w14:textId="35F35DA9" w:rsidR="002E52E4" w:rsidRDefault="002E52E4" w:rsidP="00FF5127">
      <w:pPr>
        <w:pStyle w:val="BodyText"/>
        <w:rPr>
          <w:rFonts w:cs="Arial"/>
          <w:sz w:val="22"/>
          <w:szCs w:val="22"/>
        </w:rPr>
      </w:pPr>
    </w:p>
    <w:p w14:paraId="545CF69B" w14:textId="0D6D8CD3" w:rsidR="00A21D89" w:rsidRDefault="00A21D89" w:rsidP="00FF5127">
      <w:pPr>
        <w:pStyle w:val="BodyText"/>
        <w:rPr>
          <w:rFonts w:cs="Arial"/>
          <w:sz w:val="22"/>
          <w:szCs w:val="22"/>
        </w:rPr>
      </w:pPr>
    </w:p>
    <w:p w14:paraId="3EC03F70" w14:textId="704E7BC9" w:rsidR="00A21D89" w:rsidRDefault="00A21D89" w:rsidP="00FF5127">
      <w:pPr>
        <w:pStyle w:val="BodyText"/>
        <w:rPr>
          <w:rFonts w:cs="Arial"/>
          <w:sz w:val="22"/>
          <w:szCs w:val="22"/>
        </w:rPr>
      </w:pPr>
    </w:p>
    <w:p w14:paraId="0DEFAE88" w14:textId="77777777" w:rsidR="00A21D89" w:rsidRPr="00FF5127" w:rsidRDefault="00A21D89" w:rsidP="00FF5127">
      <w:pPr>
        <w:pStyle w:val="BodyText"/>
        <w:rPr>
          <w:rFonts w:cs="Arial"/>
          <w:sz w:val="22"/>
          <w:szCs w:val="22"/>
        </w:rPr>
      </w:pPr>
    </w:p>
    <w:p w14:paraId="352EE7F9" w14:textId="77777777" w:rsidR="00FF5127" w:rsidRPr="00FF5127" w:rsidRDefault="00FF5127" w:rsidP="00FF5127">
      <w:pPr>
        <w:pStyle w:val="Heading4"/>
        <w:rPr>
          <w:rFonts w:cs="Arial"/>
          <w:sz w:val="22"/>
          <w:szCs w:val="22"/>
        </w:rPr>
      </w:pPr>
      <w:r w:rsidRPr="00FF5127">
        <w:rPr>
          <w:rFonts w:cs="Arial"/>
          <w:sz w:val="22"/>
          <w:szCs w:val="22"/>
        </w:rPr>
        <w:lastRenderedPageBreak/>
        <w:t>Focus Group</w:t>
      </w:r>
    </w:p>
    <w:p w14:paraId="63860C4E" w14:textId="578A4243" w:rsidR="00FF5127" w:rsidRPr="00FF5127" w:rsidRDefault="00FF5127" w:rsidP="00FF5127">
      <w:pPr>
        <w:pStyle w:val="BodyText"/>
        <w:spacing w:line="276" w:lineRule="auto"/>
        <w:rPr>
          <w:rFonts w:cs="Arial"/>
          <w:sz w:val="22"/>
          <w:szCs w:val="22"/>
        </w:rPr>
      </w:pPr>
      <w:r w:rsidRPr="00FF5127">
        <w:rPr>
          <w:rFonts w:cs="Arial"/>
          <w:sz w:val="22"/>
          <w:szCs w:val="22"/>
        </w:rPr>
        <w:t xml:space="preserve">A focus group of Health Education and Home Economics teachers was convened on Monday 29 March, to provide feedback on the Phase 1 draft products and website content for Health Education (with Home Economics). The focus group consisted </w:t>
      </w:r>
      <w:r w:rsidR="00460463">
        <w:rPr>
          <w:rFonts w:cs="Arial"/>
          <w:sz w:val="22"/>
          <w:szCs w:val="22"/>
        </w:rPr>
        <w:t xml:space="preserve">of </w:t>
      </w:r>
      <w:r w:rsidRPr="00FF5127">
        <w:rPr>
          <w:rFonts w:cs="Arial"/>
          <w:sz w:val="22"/>
          <w:szCs w:val="22"/>
        </w:rPr>
        <w:t xml:space="preserve">seven secondary school teachers, and the session was hosted by the Health Education (with Home Economics) Critical Friend. </w:t>
      </w:r>
    </w:p>
    <w:p w14:paraId="2892E5CD" w14:textId="67013595" w:rsidR="00FF5127" w:rsidRPr="00FF5127" w:rsidRDefault="00FF5127" w:rsidP="00FF5127">
      <w:pPr>
        <w:pStyle w:val="BodyText"/>
        <w:spacing w:line="276" w:lineRule="auto"/>
        <w:rPr>
          <w:rFonts w:cs="Arial"/>
          <w:sz w:val="22"/>
          <w:szCs w:val="22"/>
        </w:rPr>
      </w:pPr>
      <w:r w:rsidRPr="00FF5127">
        <w:rPr>
          <w:rFonts w:cs="Arial"/>
          <w:sz w:val="22"/>
          <w:szCs w:val="22"/>
        </w:rPr>
        <w:t xml:space="preserve">The group’s discussion focused on similar themes to those across other sources of feedback for this subject, namely concerns about teacher capability to deliver mātauranga Māori in the classroom, the over-generalisation of Pacific communities, the lack of visibility of food and nutrition in the materials, the challenges of teachers being able to teach this consolidated subject, and the draft learning and assessment </w:t>
      </w:r>
      <w:r w:rsidR="00F03E70">
        <w:rPr>
          <w:rFonts w:cs="Arial"/>
          <w:sz w:val="22"/>
          <w:szCs w:val="22"/>
        </w:rPr>
        <w:t>being</w:t>
      </w:r>
      <w:r w:rsidRPr="00FF5127">
        <w:rPr>
          <w:rFonts w:cs="Arial"/>
          <w:sz w:val="22"/>
          <w:szCs w:val="22"/>
        </w:rPr>
        <w:t xml:space="preserve"> too advanced for NCEA Level 1 ākonga. There was little discussion about specific standards, and no discussion on the themes of gender effects from the subject being consolidated, or the inclusion of minority groups such as LGBTQ.</w:t>
      </w:r>
    </w:p>
    <w:p w14:paraId="2686BEAB" w14:textId="669125E4" w:rsidR="00FF5127" w:rsidRPr="00FF5127" w:rsidRDefault="00FF5127" w:rsidP="00FF5127">
      <w:pPr>
        <w:pStyle w:val="BodyText"/>
        <w:spacing w:line="276" w:lineRule="auto"/>
        <w:rPr>
          <w:rFonts w:cs="Arial"/>
          <w:sz w:val="22"/>
          <w:szCs w:val="22"/>
        </w:rPr>
      </w:pPr>
      <w:r w:rsidRPr="00FF5127">
        <w:rPr>
          <w:rFonts w:cs="Arial"/>
          <w:sz w:val="22"/>
          <w:szCs w:val="22"/>
        </w:rPr>
        <w:t xml:space="preserve">There was broad support for the concepts used in the Learning Matrix, but concern that the meaning of Māori concepts could be lost, or misapplied, on delivery in the classroom. There was a similar concern about how Pacific values can be delivered, and contextualised, in the classroom in a meaningful and authentic way. There </w:t>
      </w:r>
      <w:r w:rsidR="00660CED">
        <w:rPr>
          <w:rFonts w:cs="Arial"/>
          <w:sz w:val="22"/>
          <w:szCs w:val="22"/>
        </w:rPr>
        <w:t>was</w:t>
      </w:r>
      <w:r w:rsidRPr="00FF5127">
        <w:rPr>
          <w:rFonts w:cs="Arial"/>
          <w:sz w:val="22"/>
          <w:szCs w:val="22"/>
        </w:rPr>
        <w:t xml:space="preserve"> too much generalisation about concepts that makes it look like Pacific communities from different upbringings have the same values and views. There is a risk of doing further damage to society’s understanding of Māori and Pacific values and knowledges if there’s a </w:t>
      </w:r>
      <w:r w:rsidR="001E0985">
        <w:rPr>
          <w:rFonts w:cs="Arial"/>
          <w:sz w:val="22"/>
          <w:szCs w:val="22"/>
        </w:rPr>
        <w:t>particularly</w:t>
      </w:r>
      <w:r w:rsidR="001E0985" w:rsidRPr="00FF5127">
        <w:rPr>
          <w:rFonts w:cs="Arial"/>
          <w:sz w:val="22"/>
          <w:szCs w:val="22"/>
        </w:rPr>
        <w:t xml:space="preserve"> </w:t>
      </w:r>
      <w:r w:rsidRPr="00FF5127">
        <w:rPr>
          <w:rFonts w:cs="Arial"/>
          <w:sz w:val="22"/>
          <w:szCs w:val="22"/>
        </w:rPr>
        <w:t>superficial approach in classrooms, which could further disadvantage and isolate Māori and Pacific learners.</w:t>
      </w:r>
    </w:p>
    <w:p w14:paraId="1A4D6DC1" w14:textId="77777777" w:rsidR="00FF5127" w:rsidRPr="00FF5127" w:rsidRDefault="00FF5127" w:rsidP="00FF5127">
      <w:pPr>
        <w:pStyle w:val="BodyText"/>
        <w:spacing w:line="276" w:lineRule="auto"/>
        <w:rPr>
          <w:rFonts w:cs="Arial"/>
          <w:sz w:val="22"/>
          <w:szCs w:val="22"/>
        </w:rPr>
      </w:pPr>
      <w:r w:rsidRPr="00FF5127">
        <w:rPr>
          <w:rFonts w:cs="Arial"/>
          <w:sz w:val="22"/>
          <w:szCs w:val="22"/>
        </w:rPr>
        <w:t>There was discussion about how these concerns could be addressed through professional development opportunities and in the upcoming Teacher Only Days that will focus on mātauranga Māori. It was acknowledged that these development sessions will not be a complete solution, and the work to upskill teachers and increase their understanding of Māori and Pacific knowledges and values will be ongoing.</w:t>
      </w:r>
    </w:p>
    <w:p w14:paraId="27785178" w14:textId="31CBA6DC" w:rsidR="00FF5127" w:rsidRPr="00FF5127" w:rsidRDefault="00FF5127" w:rsidP="00FF5127">
      <w:pPr>
        <w:pStyle w:val="BodyText"/>
        <w:spacing w:line="276" w:lineRule="auto"/>
        <w:rPr>
          <w:rFonts w:cs="Arial"/>
          <w:sz w:val="22"/>
          <w:szCs w:val="22"/>
        </w:rPr>
      </w:pPr>
      <w:r w:rsidRPr="00FF5127">
        <w:rPr>
          <w:rFonts w:cs="Arial"/>
          <w:sz w:val="22"/>
          <w:szCs w:val="22"/>
        </w:rPr>
        <w:t>There was general agreement that both Health Education and Home Economics teachers could see their subject in the Big Ideas and Significant Learning. A lot of explanation was required from the Ministry participants and Critical Friend about keeping the Learning Matrix and Achievement Standards context-free, and how the subject content becomes contextualised by the schools – in consultation with their local communities – in</w:t>
      </w:r>
      <w:r w:rsidR="00F03E70">
        <w:rPr>
          <w:rFonts w:cs="Arial"/>
          <w:sz w:val="22"/>
          <w:szCs w:val="22"/>
        </w:rPr>
        <w:t xml:space="preserve"> </w:t>
      </w:r>
      <w:r w:rsidRPr="00FF5127">
        <w:rPr>
          <w:rFonts w:cs="Arial"/>
          <w:sz w:val="22"/>
          <w:szCs w:val="22"/>
        </w:rPr>
        <w:t xml:space="preserve">course outlines and assessment activities. </w:t>
      </w:r>
    </w:p>
    <w:p w14:paraId="4DDA1F97" w14:textId="1ECBCD65" w:rsidR="00FF5127" w:rsidRDefault="00FF5127" w:rsidP="009177FF">
      <w:pPr>
        <w:pStyle w:val="BodyText"/>
        <w:spacing w:line="276" w:lineRule="auto"/>
        <w:rPr>
          <w:rFonts w:cs="Arial"/>
          <w:sz w:val="22"/>
          <w:szCs w:val="22"/>
        </w:rPr>
      </w:pPr>
      <w:r w:rsidRPr="00FF5127">
        <w:rPr>
          <w:rFonts w:cs="Arial"/>
          <w:sz w:val="22"/>
          <w:szCs w:val="22"/>
        </w:rPr>
        <w:t xml:space="preserve">There was a wide range of views about the ability of NCEA Level 1 learners to understand, and engage with, the Big Ideas, Significant </w:t>
      </w:r>
      <w:proofErr w:type="gramStart"/>
      <w:r w:rsidRPr="00FF5127">
        <w:rPr>
          <w:rFonts w:cs="Arial"/>
          <w:sz w:val="22"/>
          <w:szCs w:val="22"/>
        </w:rPr>
        <w:t>Learning</w:t>
      </w:r>
      <w:proofErr w:type="gramEnd"/>
      <w:r w:rsidRPr="00FF5127">
        <w:rPr>
          <w:rFonts w:cs="Arial"/>
          <w:sz w:val="22"/>
          <w:szCs w:val="22"/>
        </w:rPr>
        <w:t xml:space="preserve"> and example Course Outline activities. </w:t>
      </w:r>
      <w:r w:rsidR="00371DF6">
        <w:rPr>
          <w:rFonts w:cs="Arial"/>
          <w:sz w:val="22"/>
          <w:szCs w:val="22"/>
        </w:rPr>
        <w:t>While s</w:t>
      </w:r>
      <w:r w:rsidRPr="00FF5127">
        <w:rPr>
          <w:rFonts w:cs="Arial"/>
          <w:sz w:val="22"/>
          <w:szCs w:val="22"/>
        </w:rPr>
        <w:t xml:space="preserve">ome focus group members said that their </w:t>
      </w:r>
      <w:r w:rsidR="008E0780">
        <w:rPr>
          <w:rFonts w:cs="Arial"/>
          <w:sz w:val="22"/>
          <w:szCs w:val="22"/>
        </w:rPr>
        <w:t>ākonga</w:t>
      </w:r>
      <w:r w:rsidRPr="00FF5127">
        <w:rPr>
          <w:rFonts w:cs="Arial"/>
          <w:sz w:val="22"/>
          <w:szCs w:val="22"/>
        </w:rPr>
        <w:t xml:space="preserve"> would</w:t>
      </w:r>
      <w:r w:rsidR="00371DF6">
        <w:rPr>
          <w:rFonts w:cs="Arial"/>
          <w:sz w:val="22"/>
          <w:szCs w:val="22"/>
        </w:rPr>
        <w:t xml:space="preserve"> </w:t>
      </w:r>
      <w:r w:rsidRPr="00FF5127">
        <w:rPr>
          <w:rFonts w:cs="Arial"/>
          <w:sz w:val="22"/>
          <w:szCs w:val="22"/>
        </w:rPr>
        <w:t>have had enough learning at Year 10, if not beforehand, to engage with the proposed learning and assessment</w:t>
      </w:r>
      <w:r w:rsidR="00371DF6">
        <w:rPr>
          <w:rFonts w:cs="Arial"/>
          <w:sz w:val="22"/>
          <w:szCs w:val="22"/>
        </w:rPr>
        <w:t>,</w:t>
      </w:r>
      <w:r w:rsidRPr="00FF5127">
        <w:rPr>
          <w:rFonts w:cs="Arial"/>
          <w:sz w:val="22"/>
          <w:szCs w:val="22"/>
        </w:rPr>
        <w:t xml:space="preserve"> </w:t>
      </w:r>
      <w:r w:rsidR="00371DF6">
        <w:rPr>
          <w:rFonts w:cs="Arial"/>
          <w:sz w:val="22"/>
          <w:szCs w:val="22"/>
        </w:rPr>
        <w:t>o</w:t>
      </w:r>
      <w:r w:rsidRPr="00FF5127">
        <w:rPr>
          <w:rFonts w:cs="Arial"/>
          <w:sz w:val="22"/>
          <w:szCs w:val="22"/>
        </w:rPr>
        <w:t xml:space="preserve">ther teachers expressed the view that there’s too big a leap from their existing Year 10 subject knowledge to the proposed NCEA Level 1 content and assessment. </w:t>
      </w:r>
    </w:p>
    <w:p w14:paraId="33AC894B" w14:textId="5E796ABA" w:rsidR="009177FF" w:rsidRPr="003856D3" w:rsidRDefault="009177FF" w:rsidP="003856D3">
      <w:pPr>
        <w:pStyle w:val="BodyText"/>
        <w:spacing w:line="276" w:lineRule="auto"/>
        <w:rPr>
          <w:rFonts w:cs="Arial"/>
          <w:sz w:val="22"/>
          <w:szCs w:val="22"/>
        </w:rPr>
      </w:pPr>
      <w:r>
        <w:rPr>
          <w:rFonts w:cs="Arial"/>
          <w:sz w:val="22"/>
          <w:szCs w:val="22"/>
        </w:rPr>
        <w:t xml:space="preserve">On discussion about whether ‘Analyse’ was potentially too academic or advanced to be in a standard </w:t>
      </w:r>
      <w:r w:rsidR="003856D3">
        <w:rPr>
          <w:rFonts w:cs="Arial"/>
          <w:sz w:val="22"/>
          <w:szCs w:val="22"/>
        </w:rPr>
        <w:t xml:space="preserve">title </w:t>
      </w:r>
      <w:r>
        <w:rPr>
          <w:rFonts w:cs="Arial"/>
          <w:sz w:val="22"/>
          <w:szCs w:val="22"/>
        </w:rPr>
        <w:t xml:space="preserve">for NCEA Level 1 ākonga, the Focus Group </w:t>
      </w:r>
      <w:r w:rsidRPr="003856D3">
        <w:rPr>
          <w:rFonts w:cs="Arial"/>
          <w:sz w:val="22"/>
          <w:szCs w:val="22"/>
        </w:rPr>
        <w:t>were generally in favour of including the phrase ‘Demonstrate understanding’</w:t>
      </w:r>
      <w:r>
        <w:rPr>
          <w:rFonts w:cs="Arial"/>
          <w:sz w:val="22"/>
          <w:szCs w:val="22"/>
        </w:rPr>
        <w:t>, instead of ‘Analyse’</w:t>
      </w:r>
      <w:r w:rsidR="003856D3">
        <w:rPr>
          <w:rFonts w:cs="Arial"/>
          <w:sz w:val="22"/>
          <w:szCs w:val="22"/>
        </w:rPr>
        <w:t xml:space="preserve">, for </w:t>
      </w:r>
      <w:r w:rsidRPr="003856D3">
        <w:rPr>
          <w:rFonts w:cs="Arial"/>
          <w:sz w:val="22"/>
          <w:szCs w:val="22"/>
        </w:rPr>
        <w:t>Achievement Standard 1.3</w:t>
      </w:r>
      <w:r>
        <w:rPr>
          <w:rFonts w:cs="Arial"/>
          <w:sz w:val="22"/>
          <w:szCs w:val="22"/>
        </w:rPr>
        <w:t>. The resulting title for this standard would be ‘Demonstrate understanding of factors that influence a wellbeing issue’.</w:t>
      </w:r>
    </w:p>
    <w:p w14:paraId="7D1BCF32" w14:textId="77777777" w:rsidR="009177FF" w:rsidRPr="003856D3" w:rsidRDefault="009177FF" w:rsidP="009177FF">
      <w:pPr>
        <w:rPr>
          <w:rFonts w:cs="Arial"/>
          <w:szCs w:val="22"/>
        </w:rPr>
      </w:pPr>
    </w:p>
    <w:p w14:paraId="21FE1EDC" w14:textId="77777777" w:rsidR="009177FF" w:rsidRPr="003856D3" w:rsidRDefault="009177FF" w:rsidP="003856D3">
      <w:pPr>
        <w:pStyle w:val="BodyText"/>
        <w:spacing w:line="276" w:lineRule="auto"/>
        <w:rPr>
          <w:rFonts w:cs="Arial"/>
          <w:sz w:val="22"/>
          <w:szCs w:val="22"/>
        </w:rPr>
      </w:pPr>
      <w:r w:rsidRPr="003856D3">
        <w:rPr>
          <w:rFonts w:cs="Arial"/>
          <w:sz w:val="22"/>
          <w:szCs w:val="22"/>
        </w:rPr>
        <w:t>The suggested subject name, ‘Wellbeing Education’, received mostly negative feedback. Reasons given for rejecting this name included:</w:t>
      </w:r>
    </w:p>
    <w:p w14:paraId="071E1611" w14:textId="77777777" w:rsidR="009177FF" w:rsidRPr="003856D3" w:rsidRDefault="009177FF" w:rsidP="003856D3">
      <w:pPr>
        <w:pStyle w:val="BodyText"/>
        <w:numPr>
          <w:ilvl w:val="0"/>
          <w:numId w:val="45"/>
        </w:numPr>
        <w:spacing w:line="276" w:lineRule="auto"/>
        <w:rPr>
          <w:rFonts w:cs="Arial"/>
          <w:sz w:val="22"/>
          <w:szCs w:val="22"/>
        </w:rPr>
      </w:pPr>
      <w:r w:rsidRPr="003856D3">
        <w:rPr>
          <w:rFonts w:cs="Arial"/>
          <w:sz w:val="22"/>
          <w:szCs w:val="22"/>
        </w:rPr>
        <w:t>the confusion with wider wellbeing aims being promoted throughout schools</w:t>
      </w:r>
    </w:p>
    <w:p w14:paraId="06B2740D" w14:textId="77777777" w:rsidR="009177FF" w:rsidRPr="003856D3" w:rsidRDefault="009177FF" w:rsidP="003856D3">
      <w:pPr>
        <w:pStyle w:val="BodyText"/>
        <w:numPr>
          <w:ilvl w:val="0"/>
          <w:numId w:val="45"/>
        </w:numPr>
        <w:spacing w:line="276" w:lineRule="auto"/>
        <w:rPr>
          <w:rFonts w:cs="Arial"/>
          <w:sz w:val="22"/>
          <w:szCs w:val="22"/>
        </w:rPr>
      </w:pPr>
      <w:r w:rsidRPr="003856D3">
        <w:rPr>
          <w:rFonts w:cs="Arial"/>
          <w:sz w:val="22"/>
          <w:szCs w:val="22"/>
        </w:rPr>
        <w:t>it’s too vague</w:t>
      </w:r>
    </w:p>
    <w:p w14:paraId="0C511307" w14:textId="77777777" w:rsidR="009177FF" w:rsidRPr="003856D3" w:rsidRDefault="009177FF" w:rsidP="003856D3">
      <w:pPr>
        <w:pStyle w:val="BodyText"/>
        <w:numPr>
          <w:ilvl w:val="0"/>
          <w:numId w:val="45"/>
        </w:numPr>
        <w:spacing w:line="276" w:lineRule="auto"/>
        <w:rPr>
          <w:rFonts w:cs="Arial"/>
          <w:sz w:val="22"/>
          <w:szCs w:val="22"/>
        </w:rPr>
      </w:pPr>
      <w:r w:rsidRPr="003856D3">
        <w:rPr>
          <w:rFonts w:cs="Arial"/>
          <w:sz w:val="22"/>
          <w:szCs w:val="22"/>
        </w:rPr>
        <w:t>it could further diminish the profile of Health Education and Home Economics, as subjects that already experience problems of resourcing and status within schools and communities.</w:t>
      </w:r>
    </w:p>
    <w:p w14:paraId="2EE89FE9" w14:textId="2911009B" w:rsidR="009177FF" w:rsidRPr="003856D3" w:rsidRDefault="009177FF" w:rsidP="003856D3">
      <w:pPr>
        <w:pStyle w:val="BodyText"/>
        <w:spacing w:line="276" w:lineRule="auto"/>
        <w:rPr>
          <w:rFonts w:cs="Arial"/>
          <w:sz w:val="22"/>
          <w:szCs w:val="22"/>
        </w:rPr>
      </w:pPr>
      <w:r w:rsidRPr="003856D3">
        <w:rPr>
          <w:rFonts w:cs="Arial"/>
          <w:sz w:val="22"/>
          <w:szCs w:val="22"/>
        </w:rPr>
        <w:t xml:space="preserve"> No new name was proposed.</w:t>
      </w:r>
    </w:p>
    <w:p w14:paraId="072951DF" w14:textId="4BA06CAD" w:rsidR="00FF5127" w:rsidRDefault="00FF5127" w:rsidP="00FF5127">
      <w:pPr>
        <w:pStyle w:val="Heading4"/>
        <w:rPr>
          <w:rFonts w:cs="Arial"/>
          <w:sz w:val="22"/>
          <w:szCs w:val="22"/>
        </w:rPr>
      </w:pPr>
      <w:r w:rsidRPr="00FF5127">
        <w:rPr>
          <w:rFonts w:cs="Arial"/>
          <w:sz w:val="22"/>
          <w:szCs w:val="22"/>
        </w:rPr>
        <w:t>NCEA Panels</w:t>
      </w:r>
    </w:p>
    <w:p w14:paraId="1E3AECA5" w14:textId="2F822DBE" w:rsidR="008D3411" w:rsidRDefault="008D3411" w:rsidP="003856D3">
      <w:pPr>
        <w:pStyle w:val="BodyText"/>
        <w:spacing w:line="276" w:lineRule="auto"/>
        <w:rPr>
          <w:sz w:val="22"/>
          <w:szCs w:val="22"/>
        </w:rPr>
      </w:pPr>
      <w:r>
        <w:rPr>
          <w:sz w:val="22"/>
          <w:szCs w:val="22"/>
        </w:rPr>
        <w:t xml:space="preserve">Feedback from the four </w:t>
      </w:r>
      <w:r w:rsidRPr="008D3411">
        <w:rPr>
          <w:sz w:val="22"/>
          <w:szCs w:val="22"/>
        </w:rPr>
        <w:t xml:space="preserve">NCEA </w:t>
      </w:r>
      <w:r w:rsidR="00E77F0A">
        <w:rPr>
          <w:sz w:val="22"/>
          <w:szCs w:val="22"/>
        </w:rPr>
        <w:t>p</w:t>
      </w:r>
      <w:r w:rsidRPr="008D3411">
        <w:rPr>
          <w:sz w:val="22"/>
          <w:szCs w:val="22"/>
        </w:rPr>
        <w:t>anels complement</w:t>
      </w:r>
      <w:r>
        <w:rPr>
          <w:sz w:val="22"/>
          <w:szCs w:val="22"/>
        </w:rPr>
        <w:t xml:space="preserve">ed most of the </w:t>
      </w:r>
      <w:r w:rsidRPr="008D3411">
        <w:rPr>
          <w:sz w:val="22"/>
          <w:szCs w:val="22"/>
        </w:rPr>
        <w:t xml:space="preserve">themes </w:t>
      </w:r>
      <w:r w:rsidR="00E77F0A">
        <w:rPr>
          <w:sz w:val="22"/>
          <w:szCs w:val="22"/>
        </w:rPr>
        <w:t>in the online survey</w:t>
      </w:r>
      <w:r w:rsidR="00F03E70">
        <w:rPr>
          <w:sz w:val="22"/>
          <w:szCs w:val="22"/>
        </w:rPr>
        <w:t xml:space="preserve"> </w:t>
      </w:r>
      <w:r w:rsidR="00E77F0A">
        <w:rPr>
          <w:sz w:val="22"/>
          <w:szCs w:val="22"/>
        </w:rPr>
        <w:t>and focus group discussion.</w:t>
      </w:r>
    </w:p>
    <w:p w14:paraId="41165B9E" w14:textId="3648C3D8" w:rsidR="00E77F0A" w:rsidRDefault="00E77F0A" w:rsidP="003856D3">
      <w:pPr>
        <w:pStyle w:val="BodyText"/>
        <w:spacing w:line="276" w:lineRule="auto"/>
        <w:rPr>
          <w:rFonts w:cs="Arial"/>
          <w:sz w:val="22"/>
          <w:szCs w:val="22"/>
        </w:rPr>
      </w:pPr>
      <w:r>
        <w:rPr>
          <w:sz w:val="22"/>
          <w:szCs w:val="22"/>
        </w:rPr>
        <w:t xml:space="preserve">The Māori </w:t>
      </w:r>
      <w:r w:rsidR="00660CED">
        <w:rPr>
          <w:sz w:val="22"/>
          <w:szCs w:val="22"/>
        </w:rPr>
        <w:t xml:space="preserve">Panel </w:t>
      </w:r>
      <w:r>
        <w:rPr>
          <w:sz w:val="22"/>
          <w:szCs w:val="22"/>
        </w:rPr>
        <w:t>feedback centred on the draft material’s inclusion of mātauranga Māori. The panel’s view was that clear</w:t>
      </w:r>
      <w:r w:rsidR="002A6A68">
        <w:rPr>
          <w:sz w:val="22"/>
          <w:szCs w:val="22"/>
        </w:rPr>
        <w:t>er</w:t>
      </w:r>
      <w:r>
        <w:rPr>
          <w:sz w:val="22"/>
          <w:szCs w:val="22"/>
        </w:rPr>
        <w:t xml:space="preserve"> </w:t>
      </w:r>
      <w:r w:rsidR="002A6A68">
        <w:rPr>
          <w:sz w:val="22"/>
          <w:szCs w:val="22"/>
        </w:rPr>
        <w:t xml:space="preserve">connection is needed </w:t>
      </w:r>
      <w:r>
        <w:rPr>
          <w:sz w:val="22"/>
          <w:szCs w:val="22"/>
        </w:rPr>
        <w:t xml:space="preserve">between </w:t>
      </w:r>
      <w:r w:rsidR="002A6A68">
        <w:rPr>
          <w:sz w:val="22"/>
          <w:szCs w:val="22"/>
        </w:rPr>
        <w:t xml:space="preserve">the </w:t>
      </w:r>
      <w:r w:rsidR="00FF5127" w:rsidRPr="00FF5127">
        <w:rPr>
          <w:rFonts w:cs="Arial"/>
          <w:sz w:val="22"/>
          <w:szCs w:val="22"/>
        </w:rPr>
        <w:t xml:space="preserve">Learning Matrix </w:t>
      </w:r>
      <w:r>
        <w:rPr>
          <w:rFonts w:cs="Arial"/>
          <w:sz w:val="22"/>
          <w:szCs w:val="22"/>
        </w:rPr>
        <w:t xml:space="preserve">and the </w:t>
      </w:r>
      <w:r w:rsidR="00371DF6">
        <w:rPr>
          <w:rFonts w:cs="Arial"/>
          <w:sz w:val="22"/>
          <w:szCs w:val="22"/>
        </w:rPr>
        <w:t>L</w:t>
      </w:r>
      <w:r w:rsidR="00FF5127" w:rsidRPr="00FF5127">
        <w:rPr>
          <w:rFonts w:cs="Arial"/>
          <w:sz w:val="22"/>
          <w:szCs w:val="22"/>
        </w:rPr>
        <w:t xml:space="preserve">earning </w:t>
      </w:r>
      <w:r w:rsidR="00371DF6">
        <w:rPr>
          <w:rFonts w:cs="Arial"/>
          <w:sz w:val="22"/>
          <w:szCs w:val="22"/>
        </w:rPr>
        <w:t>A</w:t>
      </w:r>
      <w:r w:rsidR="00FF5127" w:rsidRPr="00FF5127">
        <w:rPr>
          <w:rFonts w:cs="Arial"/>
          <w:sz w:val="22"/>
          <w:szCs w:val="22"/>
        </w:rPr>
        <w:t>rea</w:t>
      </w:r>
      <w:r>
        <w:rPr>
          <w:rFonts w:cs="Arial"/>
          <w:sz w:val="22"/>
          <w:szCs w:val="22"/>
        </w:rPr>
        <w:t xml:space="preserve"> </w:t>
      </w:r>
      <w:r w:rsidR="00371DF6">
        <w:rPr>
          <w:rFonts w:cs="Arial"/>
          <w:sz w:val="22"/>
          <w:szCs w:val="22"/>
        </w:rPr>
        <w:t>W</w:t>
      </w:r>
      <w:r>
        <w:rPr>
          <w:rFonts w:cs="Arial"/>
          <w:sz w:val="22"/>
          <w:szCs w:val="22"/>
        </w:rPr>
        <w:t xml:space="preserve">hakataukī’s focus on </w:t>
      </w:r>
      <w:r w:rsidRPr="00E77F0A">
        <w:rPr>
          <w:rFonts w:cs="Arial"/>
          <w:sz w:val="22"/>
          <w:szCs w:val="22"/>
        </w:rPr>
        <w:t xml:space="preserve">identity </w:t>
      </w:r>
      <w:r>
        <w:rPr>
          <w:rFonts w:cs="Arial"/>
          <w:sz w:val="22"/>
          <w:szCs w:val="22"/>
        </w:rPr>
        <w:t>and</w:t>
      </w:r>
      <w:r w:rsidRPr="00E77F0A">
        <w:rPr>
          <w:rFonts w:cs="Arial"/>
          <w:sz w:val="22"/>
          <w:szCs w:val="22"/>
        </w:rPr>
        <w:t xml:space="preserve"> self-worth</w:t>
      </w:r>
      <w:r>
        <w:rPr>
          <w:rFonts w:cs="Arial"/>
          <w:sz w:val="22"/>
          <w:szCs w:val="22"/>
        </w:rPr>
        <w:t>.</w:t>
      </w:r>
      <w:r w:rsidR="00FF5127" w:rsidRPr="00FF5127">
        <w:rPr>
          <w:rFonts w:cs="Arial"/>
          <w:sz w:val="22"/>
          <w:szCs w:val="22"/>
        </w:rPr>
        <w:t xml:space="preserve"> The </w:t>
      </w:r>
      <w:r>
        <w:rPr>
          <w:rFonts w:cs="Arial"/>
          <w:sz w:val="22"/>
          <w:szCs w:val="22"/>
        </w:rPr>
        <w:t xml:space="preserve">was also comment that </w:t>
      </w:r>
      <w:r w:rsidR="00FF5127" w:rsidRPr="00FF5127">
        <w:rPr>
          <w:rFonts w:cs="Arial"/>
          <w:sz w:val="22"/>
          <w:szCs w:val="22"/>
        </w:rPr>
        <w:t>inclusion of mātauranga Māori in the Learning Matrix is shallow</w:t>
      </w:r>
      <w:r>
        <w:rPr>
          <w:rFonts w:cs="Arial"/>
          <w:sz w:val="22"/>
          <w:szCs w:val="22"/>
        </w:rPr>
        <w:t xml:space="preserve">, and more work needs to be done to weave te ao Māori and kupu Māori throughout the subject’s </w:t>
      </w:r>
      <w:r w:rsidRPr="00E77F0A">
        <w:rPr>
          <w:rFonts w:cs="Arial"/>
          <w:sz w:val="22"/>
          <w:szCs w:val="22"/>
        </w:rPr>
        <w:t>products and content</w:t>
      </w:r>
      <w:r>
        <w:rPr>
          <w:rFonts w:cs="Arial"/>
          <w:sz w:val="22"/>
          <w:szCs w:val="22"/>
        </w:rPr>
        <w:t>.</w:t>
      </w:r>
    </w:p>
    <w:p w14:paraId="158B94E1" w14:textId="77777777" w:rsidR="00A21D89" w:rsidRDefault="00E77F0A" w:rsidP="003856D3">
      <w:pPr>
        <w:pStyle w:val="BodyText"/>
        <w:spacing w:line="276" w:lineRule="auto"/>
        <w:rPr>
          <w:rFonts w:cs="Arial"/>
          <w:sz w:val="22"/>
          <w:szCs w:val="22"/>
        </w:rPr>
      </w:pPr>
      <w:r>
        <w:rPr>
          <w:rFonts w:cs="Arial"/>
          <w:sz w:val="22"/>
          <w:szCs w:val="22"/>
        </w:rPr>
        <w:t xml:space="preserve">The Pacific </w:t>
      </w:r>
      <w:r w:rsidR="00660CED">
        <w:rPr>
          <w:rFonts w:cs="Arial"/>
          <w:sz w:val="22"/>
          <w:szCs w:val="22"/>
        </w:rPr>
        <w:t xml:space="preserve">Panel </w:t>
      </w:r>
      <w:r>
        <w:rPr>
          <w:rFonts w:cs="Arial"/>
          <w:sz w:val="22"/>
          <w:szCs w:val="22"/>
        </w:rPr>
        <w:t xml:space="preserve">commented that, in </w:t>
      </w:r>
      <w:r w:rsidR="00FF5127" w:rsidRPr="00FF5127">
        <w:rPr>
          <w:rFonts w:cs="Arial"/>
          <w:sz w:val="22"/>
          <w:szCs w:val="22"/>
        </w:rPr>
        <w:t>its current state, the products are written from an individualistic lens which does not align well with Pacific approaches and models of health from a collective lens</w:t>
      </w:r>
      <w:r w:rsidR="002D3782">
        <w:rPr>
          <w:rFonts w:cs="Arial"/>
          <w:sz w:val="22"/>
          <w:szCs w:val="22"/>
        </w:rPr>
        <w:t>, and that the materials were too much about self-responsibility, not collective responsibility</w:t>
      </w:r>
      <w:r w:rsidR="00FF5127" w:rsidRPr="00FF5127">
        <w:rPr>
          <w:rFonts w:cs="Arial"/>
          <w:sz w:val="22"/>
          <w:szCs w:val="22"/>
        </w:rPr>
        <w:t xml:space="preserve">. </w:t>
      </w:r>
    </w:p>
    <w:p w14:paraId="3E5EC845" w14:textId="3F074916" w:rsidR="00FF5127" w:rsidRPr="00FF5127" w:rsidRDefault="00E77F0A" w:rsidP="003856D3">
      <w:pPr>
        <w:pStyle w:val="BodyText"/>
        <w:spacing w:line="276" w:lineRule="auto"/>
        <w:rPr>
          <w:rFonts w:cs="Arial"/>
          <w:sz w:val="22"/>
          <w:szCs w:val="22"/>
        </w:rPr>
      </w:pPr>
      <w:r>
        <w:rPr>
          <w:rFonts w:cs="Arial"/>
          <w:sz w:val="22"/>
          <w:szCs w:val="22"/>
        </w:rPr>
        <w:t>There was also feedback that t</w:t>
      </w:r>
      <w:r w:rsidRPr="00FF5127">
        <w:rPr>
          <w:rFonts w:cs="Arial"/>
          <w:sz w:val="22"/>
          <w:szCs w:val="22"/>
        </w:rPr>
        <w:t xml:space="preserve">he subject is too high-level and needs more of a balance between theoretical and practical learning in order to make it a subject that </w:t>
      </w:r>
      <w:r>
        <w:rPr>
          <w:rFonts w:cs="Arial"/>
          <w:sz w:val="22"/>
          <w:szCs w:val="22"/>
        </w:rPr>
        <w:t xml:space="preserve">learners </w:t>
      </w:r>
      <w:r w:rsidRPr="00FF5127">
        <w:rPr>
          <w:rFonts w:cs="Arial"/>
          <w:sz w:val="22"/>
          <w:szCs w:val="22"/>
        </w:rPr>
        <w:t>can see pathways opening up from.</w:t>
      </w:r>
      <w:r w:rsidRPr="00E77F0A">
        <w:rPr>
          <w:rFonts w:cs="Arial"/>
          <w:sz w:val="22"/>
          <w:szCs w:val="22"/>
        </w:rPr>
        <w:t xml:space="preserve"> </w:t>
      </w:r>
      <w:r w:rsidR="002D3782">
        <w:rPr>
          <w:rFonts w:cs="Arial"/>
          <w:sz w:val="22"/>
          <w:szCs w:val="22"/>
        </w:rPr>
        <w:t xml:space="preserve">Further concerns were raised about how </w:t>
      </w:r>
      <w:r w:rsidRPr="00FF5127">
        <w:rPr>
          <w:rFonts w:cs="Arial"/>
          <w:sz w:val="22"/>
          <w:szCs w:val="22"/>
        </w:rPr>
        <w:t xml:space="preserve">Pacific languages </w:t>
      </w:r>
      <w:r w:rsidR="002D3782">
        <w:rPr>
          <w:rFonts w:cs="Arial"/>
          <w:sz w:val="22"/>
          <w:szCs w:val="22"/>
        </w:rPr>
        <w:t xml:space="preserve">were ‘lumped together’, and the products </w:t>
      </w:r>
      <w:r w:rsidR="002D3782" w:rsidRPr="00FF5127">
        <w:rPr>
          <w:rFonts w:cs="Arial"/>
          <w:sz w:val="22"/>
          <w:szCs w:val="22"/>
        </w:rPr>
        <w:t xml:space="preserve">are not well-rounded in terms of hauora </w:t>
      </w:r>
      <w:r w:rsidR="002D3782">
        <w:rPr>
          <w:rFonts w:cs="Arial"/>
          <w:sz w:val="22"/>
          <w:szCs w:val="22"/>
        </w:rPr>
        <w:t>–</w:t>
      </w:r>
      <w:r w:rsidR="002D3782" w:rsidRPr="00FF5127">
        <w:rPr>
          <w:rFonts w:cs="Arial"/>
          <w:sz w:val="22"/>
          <w:szCs w:val="22"/>
        </w:rPr>
        <w:t xml:space="preserve"> </w:t>
      </w:r>
      <w:r w:rsidR="002D3782">
        <w:rPr>
          <w:rFonts w:cs="Arial"/>
          <w:sz w:val="22"/>
          <w:szCs w:val="22"/>
        </w:rPr>
        <w:t xml:space="preserve">they need to include mental and spiritual aspects of hauora as well as </w:t>
      </w:r>
      <w:r w:rsidR="002D3782" w:rsidRPr="00FF5127">
        <w:rPr>
          <w:rFonts w:cs="Arial"/>
          <w:sz w:val="22"/>
          <w:szCs w:val="22"/>
        </w:rPr>
        <w:t>the physical aspect</w:t>
      </w:r>
      <w:r w:rsidR="002D3782">
        <w:rPr>
          <w:rFonts w:cs="Arial"/>
          <w:sz w:val="22"/>
          <w:szCs w:val="22"/>
        </w:rPr>
        <w:t>.</w:t>
      </w:r>
      <w:r w:rsidR="002D3782" w:rsidRPr="00FF5127">
        <w:rPr>
          <w:rFonts w:cs="Arial"/>
          <w:sz w:val="22"/>
          <w:szCs w:val="22"/>
        </w:rPr>
        <w:t xml:space="preserve"> </w:t>
      </w:r>
    </w:p>
    <w:p w14:paraId="14C8A993" w14:textId="0450027D" w:rsidR="00FF5127" w:rsidRPr="00FF5127" w:rsidRDefault="002D3782" w:rsidP="003856D3">
      <w:pPr>
        <w:pStyle w:val="BodyText"/>
        <w:spacing w:line="276" w:lineRule="auto"/>
        <w:rPr>
          <w:rFonts w:cs="Arial"/>
          <w:sz w:val="22"/>
          <w:szCs w:val="22"/>
        </w:rPr>
      </w:pPr>
      <w:r>
        <w:rPr>
          <w:rFonts w:cs="Arial"/>
          <w:sz w:val="22"/>
          <w:szCs w:val="22"/>
        </w:rPr>
        <w:t xml:space="preserve">The Disability and Learning Support (DLS) </w:t>
      </w:r>
      <w:r w:rsidR="00660CED">
        <w:rPr>
          <w:rFonts w:cs="Arial"/>
          <w:sz w:val="22"/>
          <w:szCs w:val="22"/>
        </w:rPr>
        <w:t xml:space="preserve">Panel </w:t>
      </w:r>
      <w:r>
        <w:rPr>
          <w:rFonts w:cs="Arial"/>
          <w:sz w:val="22"/>
          <w:szCs w:val="22"/>
        </w:rPr>
        <w:t>approved of the subject material about holistic understandings of wellbeing, and also supported the proposed flexibility of assessment formats that could make the standards more accessible to learners. The DLS panel w</w:t>
      </w:r>
      <w:r w:rsidR="00F03E70">
        <w:rPr>
          <w:rFonts w:cs="Arial"/>
          <w:sz w:val="22"/>
          <w:szCs w:val="22"/>
        </w:rPr>
        <w:t>as</w:t>
      </w:r>
      <w:r>
        <w:rPr>
          <w:rFonts w:cs="Arial"/>
          <w:sz w:val="22"/>
          <w:szCs w:val="22"/>
        </w:rPr>
        <w:t xml:space="preserve"> concerned that the general subject content did not explicitly include learners with disabilities, and more content could be included that shows how nutrition and identity can be connected. There was also comment about the absence of any content about nutritional/food requirements for people with disabilities.</w:t>
      </w:r>
    </w:p>
    <w:p w14:paraId="22D7081C" w14:textId="3CD7C54A" w:rsidR="00FF5127" w:rsidRPr="00FF5127" w:rsidRDefault="002D3782" w:rsidP="003856D3">
      <w:pPr>
        <w:pStyle w:val="BodyText"/>
        <w:spacing w:line="276" w:lineRule="auto"/>
        <w:rPr>
          <w:rFonts w:cs="Arial"/>
          <w:sz w:val="22"/>
          <w:szCs w:val="22"/>
        </w:rPr>
      </w:pPr>
      <w:r>
        <w:rPr>
          <w:rFonts w:cs="Arial"/>
          <w:sz w:val="22"/>
          <w:szCs w:val="22"/>
        </w:rPr>
        <w:t xml:space="preserve">The Pathways panel commented that the purpose of the consolidated subject isn’t clear, which affects the subject’s role in </w:t>
      </w:r>
      <w:r w:rsidR="00FF5127" w:rsidRPr="00FF5127">
        <w:rPr>
          <w:rFonts w:cs="Arial"/>
          <w:sz w:val="22"/>
          <w:szCs w:val="22"/>
        </w:rPr>
        <w:t xml:space="preserve">supporting </w:t>
      </w:r>
      <w:r w:rsidR="008E0780">
        <w:rPr>
          <w:rFonts w:cs="Arial"/>
          <w:sz w:val="22"/>
          <w:szCs w:val="22"/>
        </w:rPr>
        <w:t>ākonga</w:t>
      </w:r>
      <w:r w:rsidR="008E0780" w:rsidRPr="00FF5127">
        <w:rPr>
          <w:rFonts w:cs="Arial"/>
          <w:sz w:val="22"/>
          <w:szCs w:val="22"/>
        </w:rPr>
        <w:t xml:space="preserve"> </w:t>
      </w:r>
      <w:r w:rsidR="00FF5127" w:rsidRPr="00FF5127">
        <w:rPr>
          <w:rFonts w:cs="Arial"/>
          <w:sz w:val="22"/>
          <w:szCs w:val="22"/>
        </w:rPr>
        <w:t>pathways</w:t>
      </w:r>
      <w:r w:rsidR="00B06C43">
        <w:rPr>
          <w:rFonts w:cs="Arial"/>
          <w:sz w:val="22"/>
          <w:szCs w:val="22"/>
        </w:rPr>
        <w:t xml:space="preserve">. Building on this view, the panel suggested that the course outlines </w:t>
      </w:r>
      <w:r w:rsidR="00660CED">
        <w:rPr>
          <w:rFonts w:cs="Arial"/>
          <w:sz w:val="22"/>
          <w:szCs w:val="22"/>
        </w:rPr>
        <w:t xml:space="preserve">continue to </w:t>
      </w:r>
      <w:r w:rsidR="00B06C43">
        <w:rPr>
          <w:rFonts w:cs="Arial"/>
          <w:sz w:val="22"/>
          <w:szCs w:val="22"/>
        </w:rPr>
        <w:t xml:space="preserve">be developed to incorporate a stronger focus on pathways. </w:t>
      </w:r>
      <w:proofErr w:type="gramStart"/>
      <w:r w:rsidR="00B06C43">
        <w:rPr>
          <w:rFonts w:cs="Arial"/>
          <w:sz w:val="22"/>
          <w:szCs w:val="22"/>
        </w:rPr>
        <w:t>Similar</w:t>
      </w:r>
      <w:r w:rsidR="002A6A68">
        <w:rPr>
          <w:rFonts w:cs="Arial"/>
          <w:sz w:val="22"/>
          <w:szCs w:val="22"/>
        </w:rPr>
        <w:t>ly</w:t>
      </w:r>
      <w:proofErr w:type="gramEnd"/>
      <w:r w:rsidR="00B06C43">
        <w:rPr>
          <w:rFonts w:cs="Arial"/>
          <w:sz w:val="22"/>
          <w:szCs w:val="22"/>
        </w:rPr>
        <w:t xml:space="preserve"> to all other feedback channels, the Pathways panel noted that t</w:t>
      </w:r>
      <w:r w:rsidR="00FF5127" w:rsidRPr="00FF5127">
        <w:rPr>
          <w:rFonts w:cs="Arial"/>
          <w:sz w:val="22"/>
          <w:szCs w:val="22"/>
        </w:rPr>
        <w:t xml:space="preserve">he subject is too high-level and needs more of a balance between theoretical and practical learning in order to make it a subject that </w:t>
      </w:r>
      <w:r w:rsidR="008E0780">
        <w:rPr>
          <w:rFonts w:cs="Arial"/>
          <w:sz w:val="22"/>
          <w:szCs w:val="22"/>
        </w:rPr>
        <w:t>ākonga</w:t>
      </w:r>
      <w:r w:rsidR="00FF5127" w:rsidRPr="00FF5127">
        <w:rPr>
          <w:rFonts w:cs="Arial"/>
          <w:sz w:val="22"/>
          <w:szCs w:val="22"/>
        </w:rPr>
        <w:t xml:space="preserve"> can see pathways opening up from.  </w:t>
      </w:r>
    </w:p>
    <w:p w14:paraId="6231213C" w14:textId="77777777" w:rsidR="00FF5127" w:rsidRPr="00FF5127" w:rsidRDefault="00FF5127" w:rsidP="003856D3">
      <w:pPr>
        <w:pStyle w:val="Heading2"/>
        <w:spacing w:line="276" w:lineRule="auto"/>
        <w:rPr>
          <w:rFonts w:cs="Arial"/>
          <w:sz w:val="22"/>
          <w:szCs w:val="22"/>
        </w:rPr>
      </w:pPr>
      <w:bookmarkStart w:id="7" w:name="_Toc84579029"/>
      <w:r w:rsidRPr="00FF5127">
        <w:rPr>
          <w:rFonts w:cs="Arial"/>
          <w:sz w:val="22"/>
          <w:szCs w:val="22"/>
        </w:rPr>
        <w:lastRenderedPageBreak/>
        <w:t>Next Steps</w:t>
      </w:r>
      <w:bookmarkEnd w:id="7"/>
    </w:p>
    <w:p w14:paraId="28167DC9" w14:textId="7D36625B" w:rsidR="00162AE4" w:rsidRPr="00162AE4" w:rsidRDefault="00162AE4" w:rsidP="003856D3">
      <w:pPr>
        <w:pStyle w:val="BodyText"/>
        <w:spacing w:line="276" w:lineRule="auto"/>
        <w:rPr>
          <w:sz w:val="22"/>
          <w:szCs w:val="22"/>
        </w:rPr>
      </w:pPr>
      <w:r w:rsidRPr="00162AE4">
        <w:rPr>
          <w:sz w:val="22"/>
          <w:szCs w:val="22"/>
        </w:rPr>
        <w:t xml:space="preserve">There are several </w:t>
      </w:r>
      <w:r>
        <w:rPr>
          <w:sz w:val="22"/>
          <w:szCs w:val="22"/>
        </w:rPr>
        <w:t xml:space="preserve">suggestions </w:t>
      </w:r>
      <w:r w:rsidRPr="00162AE4">
        <w:rPr>
          <w:sz w:val="22"/>
          <w:szCs w:val="22"/>
        </w:rPr>
        <w:t xml:space="preserve">which will be </w:t>
      </w:r>
      <w:r>
        <w:rPr>
          <w:sz w:val="22"/>
          <w:szCs w:val="22"/>
        </w:rPr>
        <w:t xml:space="preserve">considered </w:t>
      </w:r>
      <w:r w:rsidRPr="00162AE4">
        <w:rPr>
          <w:sz w:val="22"/>
          <w:szCs w:val="22"/>
        </w:rPr>
        <w:t>prior to re</w:t>
      </w:r>
      <w:r>
        <w:rPr>
          <w:sz w:val="22"/>
          <w:szCs w:val="22"/>
        </w:rPr>
        <w:t>-</w:t>
      </w:r>
      <w:r w:rsidRPr="00162AE4">
        <w:rPr>
          <w:sz w:val="22"/>
          <w:szCs w:val="22"/>
        </w:rPr>
        <w:t xml:space="preserve">engaging the </w:t>
      </w:r>
      <w:r>
        <w:rPr>
          <w:sz w:val="22"/>
          <w:szCs w:val="22"/>
        </w:rPr>
        <w:t xml:space="preserve">Health Education (with Home Economics) </w:t>
      </w:r>
      <w:r w:rsidRPr="00162AE4">
        <w:rPr>
          <w:sz w:val="22"/>
          <w:szCs w:val="22"/>
        </w:rPr>
        <w:t>S</w:t>
      </w:r>
      <w:r>
        <w:rPr>
          <w:sz w:val="22"/>
          <w:szCs w:val="22"/>
        </w:rPr>
        <w:t xml:space="preserve">ubject </w:t>
      </w:r>
      <w:r w:rsidRPr="00162AE4">
        <w:rPr>
          <w:sz w:val="22"/>
          <w:szCs w:val="22"/>
        </w:rPr>
        <w:t>E</w:t>
      </w:r>
      <w:r>
        <w:rPr>
          <w:sz w:val="22"/>
          <w:szCs w:val="22"/>
        </w:rPr>
        <w:t xml:space="preserve">xpert </w:t>
      </w:r>
      <w:r w:rsidRPr="00162AE4">
        <w:rPr>
          <w:sz w:val="22"/>
          <w:szCs w:val="22"/>
        </w:rPr>
        <w:t>G</w:t>
      </w:r>
      <w:r>
        <w:rPr>
          <w:sz w:val="22"/>
          <w:szCs w:val="22"/>
        </w:rPr>
        <w:t>roup (SEG)</w:t>
      </w:r>
      <w:r w:rsidRPr="00162AE4">
        <w:rPr>
          <w:sz w:val="22"/>
          <w:szCs w:val="22"/>
        </w:rPr>
        <w:t>.</w:t>
      </w:r>
    </w:p>
    <w:p w14:paraId="2E394611" w14:textId="5ECEC12D" w:rsidR="00162AE4" w:rsidRPr="00162AE4" w:rsidRDefault="00162AE4" w:rsidP="003856D3">
      <w:pPr>
        <w:spacing w:line="276" w:lineRule="auto"/>
        <w:rPr>
          <w:rFonts w:cs="Arial"/>
          <w:b/>
          <w:bCs/>
          <w:szCs w:val="22"/>
        </w:rPr>
      </w:pPr>
      <w:r>
        <w:rPr>
          <w:rFonts w:cs="Arial"/>
          <w:b/>
          <w:bCs/>
          <w:szCs w:val="22"/>
        </w:rPr>
        <w:t>Ministry Actions</w:t>
      </w:r>
    </w:p>
    <w:p w14:paraId="2D8C1D9D" w14:textId="4A0174D0" w:rsidR="00FF5127" w:rsidRDefault="00FF5127" w:rsidP="003856D3">
      <w:pPr>
        <w:spacing w:line="276" w:lineRule="auto"/>
        <w:rPr>
          <w:rFonts w:cs="Arial"/>
          <w:szCs w:val="22"/>
        </w:rPr>
      </w:pPr>
    </w:p>
    <w:p w14:paraId="1D52FC99" w14:textId="59DC7884" w:rsidR="00162AE4" w:rsidRPr="00162AE4" w:rsidRDefault="00162AE4" w:rsidP="003856D3">
      <w:pPr>
        <w:pStyle w:val="BodyText"/>
        <w:spacing w:line="276" w:lineRule="auto"/>
        <w:rPr>
          <w:sz w:val="22"/>
          <w:szCs w:val="22"/>
        </w:rPr>
      </w:pPr>
      <w:r w:rsidRPr="00162AE4">
        <w:rPr>
          <w:sz w:val="22"/>
          <w:szCs w:val="22"/>
        </w:rPr>
        <w:t>Recommended actions to be undertaken by the Ministry – the RAS teams and</w:t>
      </w:r>
      <w:r>
        <w:rPr>
          <w:sz w:val="22"/>
          <w:szCs w:val="22"/>
        </w:rPr>
        <w:t xml:space="preserve"> other</w:t>
      </w:r>
      <w:r w:rsidRPr="00162AE4">
        <w:rPr>
          <w:sz w:val="22"/>
          <w:szCs w:val="22"/>
        </w:rPr>
        <w:t xml:space="preserve"> Ministry groups – are largely communication actions aimed at supporting the sector.</w:t>
      </w:r>
    </w:p>
    <w:p w14:paraId="5C4E9AF2" w14:textId="77777777" w:rsidR="009A4B3B" w:rsidRDefault="00162AE4" w:rsidP="003856D3">
      <w:pPr>
        <w:pStyle w:val="BodyText"/>
        <w:numPr>
          <w:ilvl w:val="0"/>
          <w:numId w:val="46"/>
        </w:numPr>
        <w:spacing w:line="276" w:lineRule="auto"/>
        <w:rPr>
          <w:sz w:val="22"/>
          <w:szCs w:val="22"/>
        </w:rPr>
      </w:pPr>
      <w:r w:rsidRPr="00162AE4">
        <w:rPr>
          <w:sz w:val="22"/>
          <w:szCs w:val="22"/>
        </w:rPr>
        <w:t xml:space="preserve">Ministry to clarify </w:t>
      </w:r>
      <w:r>
        <w:rPr>
          <w:sz w:val="22"/>
          <w:szCs w:val="22"/>
        </w:rPr>
        <w:t xml:space="preserve">and communicate opportunities for training and professional development in </w:t>
      </w:r>
      <w:r w:rsidR="009A4B3B">
        <w:rPr>
          <w:sz w:val="22"/>
          <w:szCs w:val="22"/>
        </w:rPr>
        <w:t>te reo Māori and mātauranga Māori.</w:t>
      </w:r>
    </w:p>
    <w:p w14:paraId="1132B187" w14:textId="4F848F63" w:rsidR="00162AE4" w:rsidRDefault="009A4B3B" w:rsidP="003856D3">
      <w:pPr>
        <w:pStyle w:val="BodyText"/>
        <w:numPr>
          <w:ilvl w:val="0"/>
          <w:numId w:val="46"/>
        </w:numPr>
        <w:spacing w:line="276" w:lineRule="auto"/>
        <w:rPr>
          <w:sz w:val="22"/>
          <w:szCs w:val="22"/>
        </w:rPr>
      </w:pPr>
      <w:r>
        <w:rPr>
          <w:sz w:val="22"/>
          <w:szCs w:val="22"/>
        </w:rPr>
        <w:t xml:space="preserve">Ministry to </w:t>
      </w:r>
      <w:r w:rsidR="00162AE4" w:rsidRPr="00162AE4">
        <w:rPr>
          <w:sz w:val="22"/>
          <w:szCs w:val="22"/>
        </w:rPr>
        <w:t>prepar</w:t>
      </w:r>
      <w:r>
        <w:rPr>
          <w:sz w:val="22"/>
          <w:szCs w:val="22"/>
        </w:rPr>
        <w:t xml:space="preserve">e </w:t>
      </w:r>
      <w:r w:rsidR="00162AE4" w:rsidRPr="00162AE4">
        <w:rPr>
          <w:sz w:val="22"/>
          <w:szCs w:val="22"/>
        </w:rPr>
        <w:t xml:space="preserve">exemplar materials </w:t>
      </w:r>
      <w:r>
        <w:rPr>
          <w:sz w:val="22"/>
          <w:szCs w:val="22"/>
        </w:rPr>
        <w:t xml:space="preserve">and communicate useful resources </w:t>
      </w:r>
      <w:r w:rsidR="00162AE4" w:rsidRPr="00162AE4">
        <w:rPr>
          <w:sz w:val="22"/>
          <w:szCs w:val="22"/>
        </w:rPr>
        <w:t>to support the delivery of the new teaching, learning, and assessment materials. These will be included in the Pilot products.</w:t>
      </w:r>
    </w:p>
    <w:p w14:paraId="1181C07B" w14:textId="7261A441" w:rsidR="00A85E8F" w:rsidRDefault="00A85E8F" w:rsidP="003856D3">
      <w:pPr>
        <w:pStyle w:val="BodyText"/>
        <w:numPr>
          <w:ilvl w:val="0"/>
          <w:numId w:val="46"/>
        </w:numPr>
        <w:spacing w:line="276" w:lineRule="auto"/>
        <w:rPr>
          <w:sz w:val="22"/>
          <w:szCs w:val="22"/>
        </w:rPr>
      </w:pPr>
      <w:r w:rsidRPr="00162AE4">
        <w:rPr>
          <w:sz w:val="22"/>
          <w:szCs w:val="22"/>
        </w:rPr>
        <w:t xml:space="preserve">Ministry to clarify </w:t>
      </w:r>
      <w:r>
        <w:rPr>
          <w:sz w:val="22"/>
          <w:szCs w:val="22"/>
        </w:rPr>
        <w:t>and communicate opportunities for upskilling teachers from Health Education and Home Economics backgrounds to be able to deliver the content required with this new</w:t>
      </w:r>
      <w:r w:rsidR="002600CD">
        <w:rPr>
          <w:sz w:val="22"/>
          <w:szCs w:val="22"/>
        </w:rPr>
        <w:t xml:space="preserve">, </w:t>
      </w:r>
      <w:r>
        <w:rPr>
          <w:sz w:val="22"/>
          <w:szCs w:val="22"/>
        </w:rPr>
        <w:t>consolidated subject.</w:t>
      </w:r>
    </w:p>
    <w:p w14:paraId="50162DDB" w14:textId="77777777" w:rsidR="00A85E8F" w:rsidRPr="00A85E8F" w:rsidRDefault="00162AE4" w:rsidP="003856D3">
      <w:pPr>
        <w:pStyle w:val="BodyText"/>
        <w:numPr>
          <w:ilvl w:val="0"/>
          <w:numId w:val="46"/>
        </w:numPr>
        <w:spacing w:line="276" w:lineRule="auto"/>
        <w:rPr>
          <w:sz w:val="22"/>
          <w:szCs w:val="22"/>
        </w:rPr>
      </w:pPr>
      <w:r w:rsidRPr="00162AE4">
        <w:rPr>
          <w:sz w:val="22"/>
          <w:szCs w:val="22"/>
        </w:rPr>
        <w:t xml:space="preserve">Ministry to clarify timing of development process and </w:t>
      </w:r>
      <w:r w:rsidR="009A4B3B">
        <w:rPr>
          <w:sz w:val="22"/>
          <w:szCs w:val="22"/>
        </w:rPr>
        <w:t xml:space="preserve">communicate the expectations </w:t>
      </w:r>
      <w:r w:rsidR="009A4B3B" w:rsidRPr="00A85E8F">
        <w:rPr>
          <w:sz w:val="22"/>
          <w:szCs w:val="22"/>
        </w:rPr>
        <w:t>regarding timing and type of engagement with relevant stakeholder groups.</w:t>
      </w:r>
    </w:p>
    <w:p w14:paraId="34757D1C" w14:textId="7DEA1494" w:rsidR="00A85E8F" w:rsidRPr="00A85E8F" w:rsidRDefault="00A85E8F" w:rsidP="003856D3">
      <w:pPr>
        <w:pStyle w:val="BodyText"/>
        <w:numPr>
          <w:ilvl w:val="0"/>
          <w:numId w:val="46"/>
        </w:numPr>
        <w:spacing w:line="276" w:lineRule="auto"/>
        <w:rPr>
          <w:sz w:val="22"/>
          <w:szCs w:val="22"/>
        </w:rPr>
      </w:pPr>
      <w:r w:rsidRPr="00A85E8F">
        <w:rPr>
          <w:rFonts w:cs="Arial"/>
          <w:sz w:val="22"/>
          <w:szCs w:val="22"/>
        </w:rPr>
        <w:t>Be clear on communications about new curriculum, and alignment with new standards</w:t>
      </w:r>
      <w:r>
        <w:rPr>
          <w:rFonts w:cs="Arial"/>
          <w:sz w:val="22"/>
          <w:szCs w:val="22"/>
        </w:rPr>
        <w:t>.</w:t>
      </w:r>
      <w:r w:rsidRPr="00A85E8F">
        <w:rPr>
          <w:rFonts w:cs="Arial"/>
          <w:sz w:val="22"/>
          <w:szCs w:val="22"/>
        </w:rPr>
        <w:t xml:space="preserve">      </w:t>
      </w:r>
    </w:p>
    <w:p w14:paraId="597465FE" w14:textId="26E73FD6" w:rsidR="00162AE4" w:rsidRPr="00A57FBE" w:rsidRDefault="00162AE4" w:rsidP="003856D3">
      <w:pPr>
        <w:pStyle w:val="BodyText"/>
        <w:numPr>
          <w:ilvl w:val="0"/>
          <w:numId w:val="46"/>
        </w:numPr>
        <w:spacing w:line="276" w:lineRule="auto"/>
        <w:rPr>
          <w:sz w:val="22"/>
          <w:szCs w:val="22"/>
        </w:rPr>
      </w:pPr>
      <w:r w:rsidRPr="00162AE4">
        <w:rPr>
          <w:sz w:val="22"/>
          <w:szCs w:val="22"/>
        </w:rPr>
        <w:t xml:space="preserve">Ministry to </w:t>
      </w:r>
      <w:r w:rsidR="009A4B3B">
        <w:rPr>
          <w:sz w:val="22"/>
          <w:szCs w:val="22"/>
        </w:rPr>
        <w:t xml:space="preserve">review </w:t>
      </w:r>
      <w:r w:rsidRPr="00162AE4">
        <w:rPr>
          <w:sz w:val="22"/>
          <w:szCs w:val="22"/>
        </w:rPr>
        <w:t xml:space="preserve">communication </w:t>
      </w:r>
      <w:r w:rsidR="009A4B3B">
        <w:rPr>
          <w:sz w:val="22"/>
          <w:szCs w:val="22"/>
        </w:rPr>
        <w:t xml:space="preserve">processes and channels </w:t>
      </w:r>
      <w:r w:rsidRPr="00162AE4">
        <w:rPr>
          <w:sz w:val="22"/>
          <w:szCs w:val="22"/>
        </w:rPr>
        <w:t xml:space="preserve">with </w:t>
      </w:r>
      <w:r w:rsidR="009A4B3B">
        <w:rPr>
          <w:sz w:val="22"/>
          <w:szCs w:val="22"/>
        </w:rPr>
        <w:t xml:space="preserve">the education </w:t>
      </w:r>
      <w:r w:rsidRPr="00162AE4">
        <w:rPr>
          <w:sz w:val="22"/>
          <w:szCs w:val="22"/>
        </w:rPr>
        <w:t xml:space="preserve">sector </w:t>
      </w:r>
      <w:r w:rsidR="009A4B3B">
        <w:rPr>
          <w:sz w:val="22"/>
          <w:szCs w:val="22"/>
        </w:rPr>
        <w:t xml:space="preserve">and school communities </w:t>
      </w:r>
      <w:r w:rsidRPr="00162AE4">
        <w:rPr>
          <w:sz w:val="22"/>
          <w:szCs w:val="22"/>
        </w:rPr>
        <w:t xml:space="preserve">regarding the Change Package, including </w:t>
      </w:r>
      <w:r w:rsidR="009A4B3B">
        <w:rPr>
          <w:sz w:val="22"/>
          <w:szCs w:val="22"/>
        </w:rPr>
        <w:t>the justification for c</w:t>
      </w:r>
      <w:r w:rsidR="009A4B3B" w:rsidRPr="00A57FBE">
        <w:rPr>
          <w:sz w:val="22"/>
          <w:szCs w:val="22"/>
        </w:rPr>
        <w:t xml:space="preserve">onsolidating the subjects of Health Education and Home Education. </w:t>
      </w:r>
    </w:p>
    <w:p w14:paraId="374CEDFE" w14:textId="1DA79B17" w:rsidR="00162AE4" w:rsidRPr="00A57FBE" w:rsidRDefault="009A4B3B" w:rsidP="003856D3">
      <w:pPr>
        <w:pStyle w:val="BodyText"/>
        <w:numPr>
          <w:ilvl w:val="0"/>
          <w:numId w:val="46"/>
        </w:numPr>
        <w:spacing w:line="276" w:lineRule="auto"/>
        <w:rPr>
          <w:rFonts w:cs="Arial"/>
          <w:sz w:val="22"/>
          <w:szCs w:val="22"/>
        </w:rPr>
      </w:pPr>
      <w:r w:rsidRPr="00A57FBE">
        <w:rPr>
          <w:sz w:val="22"/>
          <w:szCs w:val="22"/>
        </w:rPr>
        <w:t xml:space="preserve">Ministry to work with NZQA to clarify which formats for external and internal assessments will be most accessible and achievable to schools and learners throughout Aotearoa. </w:t>
      </w:r>
    </w:p>
    <w:p w14:paraId="75353D86" w14:textId="77777777" w:rsidR="00FF5127" w:rsidRPr="00FF5127" w:rsidRDefault="00FF5127" w:rsidP="003856D3">
      <w:pPr>
        <w:spacing w:line="276" w:lineRule="auto"/>
        <w:rPr>
          <w:rFonts w:cs="Arial"/>
          <w:szCs w:val="22"/>
        </w:rPr>
      </w:pPr>
    </w:p>
    <w:p w14:paraId="1686411B" w14:textId="73FC85A6" w:rsidR="00FF5127" w:rsidRPr="00162AE4" w:rsidRDefault="00162AE4" w:rsidP="003856D3">
      <w:pPr>
        <w:spacing w:line="276" w:lineRule="auto"/>
        <w:rPr>
          <w:rFonts w:cs="Arial"/>
          <w:b/>
          <w:bCs/>
          <w:szCs w:val="22"/>
        </w:rPr>
      </w:pPr>
      <w:r w:rsidRPr="00162AE4">
        <w:rPr>
          <w:rFonts w:cs="Arial"/>
          <w:b/>
          <w:bCs/>
          <w:szCs w:val="22"/>
        </w:rPr>
        <w:t>SEG Actions</w:t>
      </w:r>
    </w:p>
    <w:p w14:paraId="4C35AFE9" w14:textId="77777777" w:rsidR="00162AE4" w:rsidRPr="00FF5127" w:rsidRDefault="00162AE4" w:rsidP="003856D3">
      <w:pPr>
        <w:spacing w:line="276" w:lineRule="auto"/>
        <w:rPr>
          <w:rFonts w:cs="Arial"/>
          <w:szCs w:val="22"/>
        </w:rPr>
      </w:pPr>
    </w:p>
    <w:p w14:paraId="70FDE6A0" w14:textId="229413F2" w:rsidR="009A4B3B" w:rsidRPr="00A85E8F" w:rsidRDefault="00634B7C" w:rsidP="003856D3">
      <w:pPr>
        <w:pStyle w:val="BodyText"/>
        <w:numPr>
          <w:ilvl w:val="0"/>
          <w:numId w:val="46"/>
        </w:numPr>
        <w:spacing w:line="276" w:lineRule="auto"/>
        <w:rPr>
          <w:sz w:val="22"/>
          <w:szCs w:val="22"/>
        </w:rPr>
      </w:pPr>
      <w:r w:rsidRPr="00A85E8F">
        <w:rPr>
          <w:sz w:val="22"/>
          <w:szCs w:val="22"/>
        </w:rPr>
        <w:t>Further d</w:t>
      </w:r>
      <w:r w:rsidR="009A4B3B" w:rsidRPr="00A85E8F">
        <w:rPr>
          <w:sz w:val="22"/>
          <w:szCs w:val="22"/>
        </w:rPr>
        <w:t>evelop subject products and content to incorporate mātauranga Māori in a more cohesive and comprehensive way</w:t>
      </w:r>
      <w:r w:rsidRPr="00A85E8F">
        <w:rPr>
          <w:sz w:val="22"/>
          <w:szCs w:val="22"/>
        </w:rPr>
        <w:t xml:space="preserve">, including a clearer link between the </w:t>
      </w:r>
      <w:r w:rsidR="00E50EB6">
        <w:rPr>
          <w:sz w:val="22"/>
          <w:szCs w:val="22"/>
        </w:rPr>
        <w:t>L</w:t>
      </w:r>
      <w:r w:rsidRPr="00A85E8F">
        <w:rPr>
          <w:sz w:val="22"/>
          <w:szCs w:val="22"/>
        </w:rPr>
        <w:t xml:space="preserve">earning </w:t>
      </w:r>
      <w:r w:rsidR="00E50EB6">
        <w:rPr>
          <w:sz w:val="22"/>
          <w:szCs w:val="22"/>
        </w:rPr>
        <w:t>A</w:t>
      </w:r>
      <w:r w:rsidRPr="00A85E8F">
        <w:rPr>
          <w:sz w:val="22"/>
          <w:szCs w:val="22"/>
        </w:rPr>
        <w:t xml:space="preserve">rea </w:t>
      </w:r>
      <w:r w:rsidR="00371DF6">
        <w:rPr>
          <w:sz w:val="22"/>
          <w:szCs w:val="22"/>
        </w:rPr>
        <w:t>W</w:t>
      </w:r>
      <w:r w:rsidRPr="00A85E8F">
        <w:rPr>
          <w:sz w:val="22"/>
          <w:szCs w:val="22"/>
        </w:rPr>
        <w:t>hakataukī and the Learning Matrix.</w:t>
      </w:r>
    </w:p>
    <w:p w14:paraId="634A0B08" w14:textId="2AC6D96C" w:rsidR="00634B7C" w:rsidRPr="00A85E8F" w:rsidRDefault="00634B7C" w:rsidP="003856D3">
      <w:pPr>
        <w:pStyle w:val="BodyText"/>
        <w:numPr>
          <w:ilvl w:val="0"/>
          <w:numId w:val="46"/>
        </w:numPr>
        <w:spacing w:line="276" w:lineRule="auto"/>
        <w:rPr>
          <w:sz w:val="22"/>
          <w:szCs w:val="22"/>
        </w:rPr>
      </w:pPr>
      <w:r w:rsidRPr="00A85E8F">
        <w:rPr>
          <w:sz w:val="22"/>
          <w:szCs w:val="22"/>
        </w:rPr>
        <w:t xml:space="preserve">Work with SEG to make the Learning Matrix and </w:t>
      </w:r>
      <w:r w:rsidR="004454A1">
        <w:rPr>
          <w:sz w:val="22"/>
          <w:szCs w:val="22"/>
        </w:rPr>
        <w:t>s</w:t>
      </w:r>
      <w:r w:rsidRPr="00A85E8F">
        <w:rPr>
          <w:sz w:val="22"/>
          <w:szCs w:val="22"/>
        </w:rPr>
        <w:t xml:space="preserve">tandards more </w:t>
      </w:r>
      <w:r w:rsidR="00E50EB6">
        <w:rPr>
          <w:sz w:val="22"/>
          <w:szCs w:val="22"/>
        </w:rPr>
        <w:t>in</w:t>
      </w:r>
      <w:r w:rsidR="00371DF6">
        <w:rPr>
          <w:sz w:val="22"/>
          <w:szCs w:val="22"/>
        </w:rPr>
        <w:t xml:space="preserve"> </w:t>
      </w:r>
      <w:r w:rsidR="00E50EB6">
        <w:rPr>
          <w:sz w:val="22"/>
          <w:szCs w:val="22"/>
        </w:rPr>
        <w:t>line with an appropriate</w:t>
      </w:r>
      <w:r w:rsidR="004454A1">
        <w:rPr>
          <w:sz w:val="22"/>
          <w:szCs w:val="22"/>
        </w:rPr>
        <w:t xml:space="preserve"> of </w:t>
      </w:r>
      <w:r w:rsidRPr="00A85E8F">
        <w:rPr>
          <w:sz w:val="22"/>
          <w:szCs w:val="22"/>
        </w:rPr>
        <w:t>level of knowledge and learning for NCEA level 1</w:t>
      </w:r>
      <w:r w:rsidR="004454A1">
        <w:rPr>
          <w:sz w:val="22"/>
          <w:szCs w:val="22"/>
        </w:rPr>
        <w:t>.</w:t>
      </w:r>
      <w:r w:rsidRPr="00A85E8F">
        <w:rPr>
          <w:sz w:val="22"/>
          <w:szCs w:val="22"/>
        </w:rPr>
        <w:t xml:space="preserve">           </w:t>
      </w:r>
    </w:p>
    <w:p w14:paraId="600EC053" w14:textId="39E4EADD" w:rsidR="00634B7C" w:rsidRPr="00A85E8F" w:rsidRDefault="00634B7C" w:rsidP="003856D3">
      <w:pPr>
        <w:pStyle w:val="BodyText"/>
        <w:numPr>
          <w:ilvl w:val="0"/>
          <w:numId w:val="46"/>
        </w:numPr>
        <w:spacing w:line="276" w:lineRule="auto"/>
        <w:rPr>
          <w:sz w:val="22"/>
          <w:szCs w:val="22"/>
        </w:rPr>
      </w:pPr>
      <w:r w:rsidRPr="00A85E8F">
        <w:rPr>
          <w:sz w:val="22"/>
          <w:szCs w:val="22"/>
        </w:rPr>
        <w:t>Embed Pacific values and concepts in a more nuanced way throughout the subject materials, with more explicit mention of a range of Pacific approaches to, and models of, health and wellbeing, and reframe subject materials to be based more on a collective lens than individualistic lens</w:t>
      </w:r>
      <w:r w:rsidR="004454A1">
        <w:rPr>
          <w:sz w:val="22"/>
          <w:szCs w:val="22"/>
        </w:rPr>
        <w:t>.</w:t>
      </w:r>
    </w:p>
    <w:p w14:paraId="07CFC5AF" w14:textId="1E12E166" w:rsidR="00634B7C" w:rsidRPr="00A85E8F" w:rsidRDefault="00634B7C" w:rsidP="003856D3">
      <w:pPr>
        <w:pStyle w:val="BodyText"/>
        <w:numPr>
          <w:ilvl w:val="0"/>
          <w:numId w:val="46"/>
        </w:numPr>
        <w:spacing w:line="276" w:lineRule="auto"/>
        <w:rPr>
          <w:sz w:val="22"/>
          <w:szCs w:val="22"/>
        </w:rPr>
      </w:pPr>
      <w:r w:rsidRPr="00A85E8F">
        <w:rPr>
          <w:sz w:val="22"/>
          <w:szCs w:val="22"/>
        </w:rPr>
        <w:t xml:space="preserve">Increase the visibility of </w:t>
      </w:r>
      <w:r w:rsidR="009A4B3B" w:rsidRPr="00A85E8F">
        <w:rPr>
          <w:sz w:val="22"/>
          <w:szCs w:val="22"/>
        </w:rPr>
        <w:t xml:space="preserve">food- and nutrition-related content </w:t>
      </w:r>
      <w:r w:rsidRPr="00A85E8F">
        <w:rPr>
          <w:sz w:val="22"/>
          <w:szCs w:val="22"/>
        </w:rPr>
        <w:t>throughout the subject materials</w:t>
      </w:r>
      <w:r w:rsidR="004454A1">
        <w:rPr>
          <w:sz w:val="22"/>
          <w:szCs w:val="22"/>
        </w:rPr>
        <w:t>.</w:t>
      </w:r>
    </w:p>
    <w:p w14:paraId="535D8D6C" w14:textId="298FCCC4" w:rsidR="00634B7C" w:rsidRPr="00A85E8F" w:rsidRDefault="00634B7C" w:rsidP="003856D3">
      <w:pPr>
        <w:pStyle w:val="BodyText"/>
        <w:numPr>
          <w:ilvl w:val="0"/>
          <w:numId w:val="46"/>
        </w:numPr>
        <w:spacing w:line="276" w:lineRule="auto"/>
        <w:rPr>
          <w:sz w:val="22"/>
          <w:szCs w:val="22"/>
        </w:rPr>
      </w:pPr>
      <w:r w:rsidRPr="00A85E8F">
        <w:rPr>
          <w:sz w:val="22"/>
          <w:szCs w:val="22"/>
        </w:rPr>
        <w:lastRenderedPageBreak/>
        <w:t>Further develop subject products and content to be more inclusive of leaners from diverse backgrounds and lived experiences, including looking for opportunities to incorporate content about specific contexts such as mental health</w:t>
      </w:r>
      <w:r w:rsidR="004454A1">
        <w:rPr>
          <w:sz w:val="22"/>
          <w:szCs w:val="22"/>
        </w:rPr>
        <w:t>.</w:t>
      </w:r>
      <w:r w:rsidRPr="00A85E8F">
        <w:rPr>
          <w:sz w:val="22"/>
          <w:szCs w:val="22"/>
        </w:rPr>
        <w:t xml:space="preserve"> </w:t>
      </w:r>
    </w:p>
    <w:p w14:paraId="7419E0C4" w14:textId="0C801015" w:rsidR="00634B7C" w:rsidRPr="00A85E8F" w:rsidRDefault="00634B7C" w:rsidP="003856D3">
      <w:pPr>
        <w:pStyle w:val="BodyText"/>
        <w:numPr>
          <w:ilvl w:val="0"/>
          <w:numId w:val="46"/>
        </w:numPr>
        <w:spacing w:line="276" w:lineRule="auto"/>
        <w:rPr>
          <w:sz w:val="22"/>
          <w:szCs w:val="22"/>
        </w:rPr>
      </w:pPr>
      <w:r w:rsidRPr="00A85E8F">
        <w:rPr>
          <w:sz w:val="22"/>
          <w:szCs w:val="22"/>
        </w:rPr>
        <w:t xml:space="preserve">Refine subject content to have a more clearly defined purpose, with more information about this subject’s role in supporting </w:t>
      </w:r>
      <w:r w:rsidR="008E0780" w:rsidRPr="003856D3">
        <w:rPr>
          <w:sz w:val="22"/>
          <w:szCs w:val="22"/>
        </w:rPr>
        <w:t>ākonga</w:t>
      </w:r>
      <w:r w:rsidRPr="00A85E8F">
        <w:rPr>
          <w:sz w:val="22"/>
          <w:szCs w:val="22"/>
        </w:rPr>
        <w:t xml:space="preserve"> pathways</w:t>
      </w:r>
      <w:r w:rsidR="004454A1">
        <w:rPr>
          <w:sz w:val="22"/>
          <w:szCs w:val="22"/>
        </w:rPr>
        <w:t>.</w:t>
      </w:r>
      <w:r w:rsidRPr="00A85E8F">
        <w:rPr>
          <w:sz w:val="22"/>
          <w:szCs w:val="22"/>
        </w:rPr>
        <w:t xml:space="preserve">           </w:t>
      </w:r>
    </w:p>
    <w:p w14:paraId="16C7D0C6" w14:textId="231F6B9A" w:rsidR="00634B7C" w:rsidRPr="00A85E8F" w:rsidRDefault="00634B7C" w:rsidP="003856D3">
      <w:pPr>
        <w:pStyle w:val="BodyText"/>
        <w:numPr>
          <w:ilvl w:val="0"/>
          <w:numId w:val="46"/>
        </w:numPr>
        <w:spacing w:line="276" w:lineRule="auto"/>
        <w:rPr>
          <w:sz w:val="22"/>
          <w:szCs w:val="22"/>
        </w:rPr>
      </w:pPr>
      <w:r w:rsidRPr="00A85E8F">
        <w:rPr>
          <w:sz w:val="22"/>
          <w:szCs w:val="22"/>
        </w:rPr>
        <w:t xml:space="preserve">Review course outlines and assessment activities for opportunities </w:t>
      </w:r>
      <w:r w:rsidR="00E50EB6">
        <w:rPr>
          <w:sz w:val="22"/>
          <w:szCs w:val="22"/>
        </w:rPr>
        <w:t>to include</w:t>
      </w:r>
      <w:r w:rsidR="00B75EC3">
        <w:rPr>
          <w:sz w:val="22"/>
          <w:szCs w:val="22"/>
        </w:rPr>
        <w:t xml:space="preserve"> </w:t>
      </w:r>
      <w:r w:rsidRPr="00A85E8F">
        <w:rPr>
          <w:sz w:val="22"/>
          <w:szCs w:val="22"/>
        </w:rPr>
        <w:t>practical or applied learning</w:t>
      </w:r>
      <w:r w:rsidR="00A85E8F">
        <w:rPr>
          <w:sz w:val="22"/>
          <w:szCs w:val="22"/>
        </w:rPr>
        <w:t xml:space="preserve"> that can be delivered by teachers from both Home Economics and Health Education teaching backgrounds</w:t>
      </w:r>
      <w:r w:rsidR="004454A1">
        <w:rPr>
          <w:sz w:val="22"/>
          <w:szCs w:val="22"/>
        </w:rPr>
        <w:t>.</w:t>
      </w:r>
    </w:p>
    <w:p w14:paraId="390F3097" w14:textId="72CF6AC9" w:rsidR="00634B7C" w:rsidRPr="003856D3" w:rsidRDefault="00C96B8E" w:rsidP="003856D3">
      <w:pPr>
        <w:pStyle w:val="BodyText"/>
        <w:numPr>
          <w:ilvl w:val="0"/>
          <w:numId w:val="46"/>
        </w:numPr>
        <w:spacing w:line="276" w:lineRule="auto"/>
        <w:rPr>
          <w:sz w:val="22"/>
          <w:szCs w:val="22"/>
        </w:rPr>
      </w:pPr>
      <w:r w:rsidRPr="003856D3">
        <w:rPr>
          <w:sz w:val="22"/>
          <w:szCs w:val="22"/>
        </w:rPr>
        <w:t xml:space="preserve">Revise </w:t>
      </w:r>
      <w:r w:rsidR="00A85E8F" w:rsidRPr="003856D3">
        <w:rPr>
          <w:sz w:val="22"/>
          <w:szCs w:val="22"/>
        </w:rPr>
        <w:t>Achievement Standard 1.4 to be clearer what ākonga are being assessed on.</w:t>
      </w:r>
    </w:p>
    <w:p w14:paraId="1A409D67" w14:textId="34DE880A" w:rsidR="009177FF" w:rsidRPr="003856D3" w:rsidRDefault="009177FF" w:rsidP="003856D3">
      <w:pPr>
        <w:pStyle w:val="BodyText"/>
        <w:numPr>
          <w:ilvl w:val="0"/>
          <w:numId w:val="46"/>
        </w:numPr>
        <w:spacing w:line="276" w:lineRule="auto"/>
        <w:rPr>
          <w:sz w:val="22"/>
          <w:szCs w:val="22"/>
        </w:rPr>
      </w:pPr>
      <w:r w:rsidRPr="003856D3">
        <w:rPr>
          <w:sz w:val="22"/>
          <w:szCs w:val="22"/>
        </w:rPr>
        <w:t>Discuss potential new name for the consolidated subject Health Education (with Home Economics)</w:t>
      </w:r>
      <w:r w:rsidR="003856D3">
        <w:rPr>
          <w:sz w:val="22"/>
          <w:szCs w:val="22"/>
        </w:rPr>
        <w:t>.</w:t>
      </w:r>
    </w:p>
    <w:p w14:paraId="1A6A15B4" w14:textId="77777777" w:rsidR="009177FF" w:rsidRPr="00634B7C" w:rsidRDefault="009177FF" w:rsidP="003856D3">
      <w:pPr>
        <w:pStyle w:val="ListParagraph"/>
        <w:spacing w:line="276" w:lineRule="auto"/>
        <w:rPr>
          <w:rFonts w:ascii="Arial" w:hAnsi="Arial" w:cs="Arial"/>
          <w:sz w:val="22"/>
          <w:szCs w:val="22"/>
        </w:rPr>
      </w:pPr>
    </w:p>
    <w:p w14:paraId="54DB565B" w14:textId="720FC59D" w:rsidR="00FF5127" w:rsidRPr="00252D22" w:rsidRDefault="00A85E8F" w:rsidP="00A85E8F">
      <w:pPr>
        <w:rPr>
          <w:rFonts w:cs="Arial"/>
        </w:rPr>
      </w:pPr>
      <w:r>
        <w:rPr>
          <w:rFonts w:cs="Arial"/>
        </w:rPr>
        <w:t>.</w:t>
      </w:r>
      <w:r w:rsidR="00FF5127" w:rsidRPr="00252D22">
        <w:rPr>
          <w:rFonts w:cs="Arial"/>
        </w:rPr>
        <w:t xml:space="preserve"> </w:t>
      </w:r>
    </w:p>
    <w:p w14:paraId="5AC73EC4" w14:textId="1173581C" w:rsidR="00FF5127" w:rsidRDefault="00FF5127" w:rsidP="00FF5127">
      <w:pPr>
        <w:pStyle w:val="BodyText"/>
      </w:pPr>
    </w:p>
    <w:p w14:paraId="6012D617" w14:textId="45C7FF76" w:rsidR="00C54B2A" w:rsidRPr="00C54B2A" w:rsidRDefault="00C54B2A" w:rsidP="00C54B2A">
      <w:pPr>
        <w:pStyle w:val="BodyText"/>
        <w:numPr>
          <w:ilvl w:val="0"/>
          <w:numId w:val="42"/>
        </w:numPr>
        <w:spacing w:after="0"/>
        <w:sectPr w:rsidR="00C54B2A"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p>
    <w:p w14:paraId="083DBDF3" w14:textId="77777777" w:rsidR="00CF5151" w:rsidRPr="00CF5151" w:rsidRDefault="00CF5151" w:rsidP="00CF5151"/>
    <w:p w14:paraId="43ACC2A2" w14:textId="77777777" w:rsidR="00CF5151" w:rsidRPr="00CF5151" w:rsidRDefault="00CF5151" w:rsidP="00CF5151"/>
    <w:p w14:paraId="55B392E6" w14:textId="77777777" w:rsidR="00CF5151" w:rsidRPr="00CF5151" w:rsidRDefault="00CF5151" w:rsidP="00CF5151"/>
    <w:p w14:paraId="6517576C" w14:textId="77777777" w:rsidR="00CF5151" w:rsidRPr="00CF5151" w:rsidRDefault="00CF5151" w:rsidP="00CF5151"/>
    <w:p w14:paraId="4B81AA38" w14:textId="77777777" w:rsidR="00CF5151" w:rsidRPr="00CF5151" w:rsidRDefault="00CF5151" w:rsidP="00CF5151"/>
    <w:p w14:paraId="486BF3F8" w14:textId="77777777" w:rsidR="00CF5151" w:rsidRPr="00CF5151" w:rsidRDefault="00CF5151" w:rsidP="00CF5151"/>
    <w:p w14:paraId="707B51D3" w14:textId="77777777" w:rsidR="00CF5151" w:rsidRPr="00CF5151" w:rsidRDefault="00CF5151" w:rsidP="00CF5151"/>
    <w:p w14:paraId="45FEF899" w14:textId="77777777" w:rsidR="00CF5151" w:rsidRPr="00CF5151" w:rsidRDefault="00CF5151" w:rsidP="00CF5151"/>
    <w:p w14:paraId="6193E39E" w14:textId="77777777" w:rsidR="00CF5151" w:rsidRPr="00CF5151" w:rsidRDefault="00CF5151" w:rsidP="00CF5151"/>
    <w:p w14:paraId="018FFCAB" w14:textId="77777777" w:rsidR="00CF5151" w:rsidRPr="00CF5151" w:rsidRDefault="00CF5151" w:rsidP="00CF5151"/>
    <w:p w14:paraId="0BDCDE8D" w14:textId="77777777" w:rsidR="00CF5151" w:rsidRPr="00CF5151" w:rsidRDefault="00CF5151" w:rsidP="00CF5151"/>
    <w:p w14:paraId="33528411" w14:textId="77777777" w:rsidR="00CF5151" w:rsidRPr="00CF5151" w:rsidRDefault="00CF5151" w:rsidP="00CF5151"/>
    <w:p w14:paraId="7FA15208" w14:textId="77777777" w:rsidR="00CF5151" w:rsidRPr="00CF5151" w:rsidRDefault="00CF5151" w:rsidP="00CF5151"/>
    <w:p w14:paraId="6AD4FAE5" w14:textId="77777777" w:rsidR="00CF5151" w:rsidRPr="00CF5151" w:rsidRDefault="00CF5151" w:rsidP="00CF5151"/>
    <w:p w14:paraId="07AA20B3" w14:textId="77777777" w:rsidR="00CF5151" w:rsidRPr="00CF5151" w:rsidRDefault="00CF5151" w:rsidP="00CF5151"/>
    <w:p w14:paraId="24B53019" w14:textId="77777777" w:rsidR="00CF5151" w:rsidRPr="00CF5151" w:rsidRDefault="00CF5151" w:rsidP="00CF5151"/>
    <w:p w14:paraId="5602E3FB" w14:textId="77777777" w:rsidR="00CF5151" w:rsidRPr="00CF5151" w:rsidRDefault="00CF5151" w:rsidP="00CF5151"/>
    <w:p w14:paraId="47F0F72A" w14:textId="77777777" w:rsidR="00CF5151" w:rsidRPr="00CF5151" w:rsidRDefault="00CF5151" w:rsidP="00CF5151"/>
    <w:p w14:paraId="0246DE14" w14:textId="77777777" w:rsidR="00CF5151" w:rsidRPr="00CF5151" w:rsidRDefault="00CF5151" w:rsidP="00CF5151"/>
    <w:p w14:paraId="73C2543E" w14:textId="77777777" w:rsidR="00CF5151" w:rsidRPr="00CF5151" w:rsidRDefault="00CF5151" w:rsidP="00CF5151"/>
    <w:p w14:paraId="0126CA76" w14:textId="77777777" w:rsidR="00CF5151" w:rsidRPr="00CF5151" w:rsidRDefault="00CF5151" w:rsidP="00CF5151"/>
    <w:p w14:paraId="4831C5B1" w14:textId="77777777" w:rsidR="00CF5151" w:rsidRPr="00CF5151" w:rsidRDefault="00CF5151" w:rsidP="00CF5151"/>
    <w:p w14:paraId="3879F351" w14:textId="77777777" w:rsidR="00CF5151" w:rsidRPr="00CF5151" w:rsidRDefault="00CF5151" w:rsidP="00CF5151">
      <w:pPr>
        <w:jc w:val="center"/>
      </w:pPr>
    </w:p>
    <w:p w14:paraId="39782B77" w14:textId="77777777" w:rsidR="00CF5151" w:rsidRPr="00CF5151" w:rsidRDefault="00CF5151" w:rsidP="00CF5151"/>
    <w:p w14:paraId="5228412E" w14:textId="77777777" w:rsidR="0006716F" w:rsidRPr="00CF5151" w:rsidRDefault="0006716F" w:rsidP="00CF5151"/>
    <w:sectPr w:rsidR="0006716F"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CB9D" w14:textId="77777777" w:rsidR="00CB3DBB" w:rsidRDefault="00CB3DBB" w:rsidP="0052683C">
      <w:r>
        <w:separator/>
      </w:r>
    </w:p>
  </w:endnote>
  <w:endnote w:type="continuationSeparator" w:id="0">
    <w:p w14:paraId="3902C719" w14:textId="77777777" w:rsidR="00CB3DBB" w:rsidRDefault="00CB3DBB"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B12530" w:rsidRDefault="00B1253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B12530" w:rsidRDefault="00B1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77777777" w:rsidR="00B12530" w:rsidRDefault="00B12530">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4B02D23B" w:rsidR="00B12530" w:rsidRPr="007F0E3B" w:rsidRDefault="00E443A3" w:rsidP="007F0E3B">
    <w:pPr>
      <w:pStyle w:val="Footer"/>
      <w:rPr>
        <w:b w:val="0"/>
      </w:rPr>
    </w:pPr>
    <w:r>
      <w:rPr>
        <w:b w:val="0"/>
      </w:rPr>
      <w:t>28</w:t>
    </w:r>
    <w:r w:rsidR="00EC7EB5">
      <w:rPr>
        <w:b w:val="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77777777" w:rsidR="00B12530" w:rsidRPr="000755DD" w:rsidRDefault="00561FC7" w:rsidP="007F0E3B">
    <w:pPr>
      <w:pStyle w:val="Footer"/>
    </w:pPr>
    <w:r>
      <w:fldChar w:fldCharType="begin"/>
    </w:r>
    <w:r>
      <w:instrText xml:space="preserve"> STYLEREF  "Cover Heading"  \* MERGEFORMAT </w:instrText>
    </w:r>
    <w:r>
      <w:fldChar w:fldCharType="separate"/>
    </w:r>
    <w:r w:rsidR="00B12530">
      <w:t>Document title</w:t>
    </w:r>
    <w:r>
      <w:fldChar w:fldCharType="end"/>
    </w:r>
    <w:r w:rsidR="00B12530">
      <w:tab/>
    </w:r>
    <w:r w:rsidR="00B12530">
      <w:fldChar w:fldCharType="begin"/>
    </w:r>
    <w:r w:rsidR="00B12530">
      <w:instrText xml:space="preserve"> PAGE   \* MERGEFORMAT </w:instrText>
    </w:r>
    <w:r w:rsidR="00B12530">
      <w:fldChar w:fldCharType="separate"/>
    </w:r>
    <w:r w:rsidR="00B12530">
      <w:t>i</w:t>
    </w:r>
    <w:r w:rsidR="00B12530">
      <w:fldChar w:fldCharType="end"/>
    </w:r>
  </w:p>
  <w:p w14:paraId="53F7A491" w14:textId="77777777" w:rsidR="00B12530" w:rsidRPr="007F0E3B" w:rsidRDefault="00B12530"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B12530" w:rsidRPr="002B7B88" w:rsidRDefault="00B12530"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E35C" w14:textId="77777777" w:rsidR="00CB3DBB" w:rsidRDefault="00CB3DBB" w:rsidP="0052683C">
      <w:r>
        <w:separator/>
      </w:r>
    </w:p>
  </w:footnote>
  <w:footnote w:type="continuationSeparator" w:id="0">
    <w:p w14:paraId="4F12969A" w14:textId="77777777" w:rsidR="00CB3DBB" w:rsidRDefault="00CB3DBB"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B12530" w:rsidRDefault="00561FC7">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5" o:spid="_x0000_s2050"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B12530" w:rsidRDefault="00561FC7">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6" o:spid="_x0000_s2051"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B12530">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B12530">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B12530">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B12530">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B12530" w:rsidRDefault="00561FC7"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4" o:spid="_x0000_s2049"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B12530">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394E"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B12530" w:rsidRDefault="00561FC7">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8" o:spid="_x0000_s2056" type="#_x0000_t136" style="position:absolute;margin-left:0;margin-top:0;width:597.05pt;height:70.2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B12530" w:rsidRDefault="00561FC7">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9" o:spid="_x0000_s2057" type="#_x0000_t136" style="position:absolute;margin-left:0;margin-top:0;width:597.05pt;height:70.2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B12530" w:rsidRDefault="00561FC7"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87" o:spid="_x0000_s2055" type="#_x0000_t136" style="position:absolute;margin-left:0;margin-top:0;width:597.05pt;height:70.2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B12530" w:rsidRDefault="00561FC7">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91" o:spid="_x0000_s2059" type="#_x0000_t136" style="position:absolute;margin-left:0;margin-top:0;width:597.05pt;height:70.2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B12530" w:rsidRDefault="00561FC7">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92" o:spid="_x0000_s2060" type="#_x0000_t136" style="position:absolute;margin-left:0;margin-top:0;width:597.05pt;height:70.2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B12530">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AB1CD20"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B12530">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B12530">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B12530">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B1253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B12530" w:rsidRDefault="00561FC7"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64990" o:spid="_x0000_s2058" type="#_x0000_t136" style="position:absolute;margin-left:0;margin-top:0;width:597.05pt;height:70.2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DA2765"/>
    <w:multiLevelType w:val="hybridMultilevel"/>
    <w:tmpl w:val="D640DC34"/>
    <w:lvl w:ilvl="0" w:tplc="A782A754">
      <w:start w:val="8"/>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A7D92"/>
    <w:multiLevelType w:val="hybridMultilevel"/>
    <w:tmpl w:val="0F56D2E2"/>
    <w:lvl w:ilvl="0" w:tplc="A2867B7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4ACD69AD"/>
    <w:multiLevelType w:val="hybridMultilevel"/>
    <w:tmpl w:val="0812044A"/>
    <w:lvl w:ilvl="0" w:tplc="7EEA76B8">
      <w:start w:val="1"/>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98F15D7"/>
    <w:multiLevelType w:val="hybridMultilevel"/>
    <w:tmpl w:val="34D64B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3"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6"/>
  </w:num>
  <w:num w:numId="2">
    <w:abstractNumId w:val="25"/>
  </w:num>
  <w:num w:numId="3">
    <w:abstractNumId w:val="16"/>
  </w:num>
  <w:num w:numId="4">
    <w:abstractNumId w:val="46"/>
  </w:num>
  <w:num w:numId="5">
    <w:abstractNumId w:val="1"/>
  </w:num>
  <w:num w:numId="6">
    <w:abstractNumId w:val="29"/>
  </w:num>
  <w:num w:numId="7">
    <w:abstractNumId w:val="19"/>
  </w:num>
  <w:num w:numId="8">
    <w:abstractNumId w:val="20"/>
  </w:num>
  <w:num w:numId="9">
    <w:abstractNumId w:val="3"/>
  </w:num>
  <w:num w:numId="10">
    <w:abstractNumId w:val="0"/>
  </w:num>
  <w:num w:numId="11">
    <w:abstractNumId w:val="27"/>
  </w:num>
  <w:num w:numId="12">
    <w:abstractNumId w:val="37"/>
  </w:num>
  <w:num w:numId="13">
    <w:abstractNumId w:val="8"/>
  </w:num>
  <w:num w:numId="14">
    <w:abstractNumId w:val="41"/>
  </w:num>
  <w:num w:numId="15">
    <w:abstractNumId w:val="13"/>
  </w:num>
  <w:num w:numId="16">
    <w:abstractNumId w:val="2"/>
  </w:num>
  <w:num w:numId="17">
    <w:abstractNumId w:val="45"/>
  </w:num>
  <w:num w:numId="18">
    <w:abstractNumId w:val="33"/>
  </w:num>
  <w:num w:numId="19">
    <w:abstractNumId w:val="26"/>
  </w:num>
  <w:num w:numId="20">
    <w:abstractNumId w:val="11"/>
  </w:num>
  <w:num w:numId="21">
    <w:abstractNumId w:val="44"/>
  </w:num>
  <w:num w:numId="22">
    <w:abstractNumId w:val="18"/>
  </w:num>
  <w:num w:numId="23">
    <w:abstractNumId w:val="31"/>
  </w:num>
  <w:num w:numId="24">
    <w:abstractNumId w:val="14"/>
  </w:num>
  <w:num w:numId="25">
    <w:abstractNumId w:val="40"/>
  </w:num>
  <w:num w:numId="26">
    <w:abstractNumId w:val="15"/>
  </w:num>
  <w:num w:numId="27">
    <w:abstractNumId w:val="10"/>
  </w:num>
  <w:num w:numId="28">
    <w:abstractNumId w:val="5"/>
  </w:num>
  <w:num w:numId="29">
    <w:abstractNumId w:val="43"/>
  </w:num>
  <w:num w:numId="30">
    <w:abstractNumId w:val="22"/>
  </w:num>
  <w:num w:numId="31">
    <w:abstractNumId w:val="12"/>
  </w:num>
  <w:num w:numId="32">
    <w:abstractNumId w:val="35"/>
  </w:num>
  <w:num w:numId="33">
    <w:abstractNumId w:val="39"/>
  </w:num>
  <w:num w:numId="34">
    <w:abstractNumId w:val="42"/>
  </w:num>
  <w:num w:numId="35">
    <w:abstractNumId w:val="6"/>
  </w:num>
  <w:num w:numId="36">
    <w:abstractNumId w:val="21"/>
  </w:num>
  <w:num w:numId="37">
    <w:abstractNumId w:val="32"/>
  </w:num>
  <w:num w:numId="38">
    <w:abstractNumId w:val="7"/>
  </w:num>
  <w:num w:numId="39">
    <w:abstractNumId w:val="17"/>
  </w:num>
  <w:num w:numId="40">
    <w:abstractNumId w:val="34"/>
  </w:num>
  <w:num w:numId="41">
    <w:abstractNumId w:val="24"/>
  </w:num>
  <w:num w:numId="42">
    <w:abstractNumId w:val="9"/>
  </w:num>
  <w:num w:numId="43">
    <w:abstractNumId w:val="30"/>
  </w:num>
  <w:num w:numId="44">
    <w:abstractNumId w:val="38"/>
  </w:num>
  <w:num w:numId="45">
    <w:abstractNumId w:val="23"/>
  </w:num>
  <w:num w:numId="46">
    <w:abstractNumId w:val="4"/>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42E2"/>
    <w:rsid w:val="000051E8"/>
    <w:rsid w:val="00007FFD"/>
    <w:rsid w:val="000105FF"/>
    <w:rsid w:val="00011287"/>
    <w:rsid w:val="00011E33"/>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F9"/>
    <w:rsid w:val="0004552B"/>
    <w:rsid w:val="00045B99"/>
    <w:rsid w:val="00063536"/>
    <w:rsid w:val="000651DA"/>
    <w:rsid w:val="0006716F"/>
    <w:rsid w:val="00071343"/>
    <w:rsid w:val="000714CC"/>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F1095"/>
    <w:rsid w:val="000F1E16"/>
    <w:rsid w:val="000F2191"/>
    <w:rsid w:val="00102846"/>
    <w:rsid w:val="00104A99"/>
    <w:rsid w:val="00110173"/>
    <w:rsid w:val="00110729"/>
    <w:rsid w:val="00110766"/>
    <w:rsid w:val="001150A2"/>
    <w:rsid w:val="00116A11"/>
    <w:rsid w:val="0011709A"/>
    <w:rsid w:val="001225CE"/>
    <w:rsid w:val="00122BB5"/>
    <w:rsid w:val="00123248"/>
    <w:rsid w:val="001237F6"/>
    <w:rsid w:val="00133344"/>
    <w:rsid w:val="00133494"/>
    <w:rsid w:val="00134154"/>
    <w:rsid w:val="00135C7C"/>
    <w:rsid w:val="001376D8"/>
    <w:rsid w:val="00141836"/>
    <w:rsid w:val="00141A74"/>
    <w:rsid w:val="00143255"/>
    <w:rsid w:val="001437AB"/>
    <w:rsid w:val="00146E75"/>
    <w:rsid w:val="001509C6"/>
    <w:rsid w:val="00152A3B"/>
    <w:rsid w:val="00153929"/>
    <w:rsid w:val="00153C69"/>
    <w:rsid w:val="00162AE4"/>
    <w:rsid w:val="0016321A"/>
    <w:rsid w:val="001715CE"/>
    <w:rsid w:val="00172384"/>
    <w:rsid w:val="00174194"/>
    <w:rsid w:val="00174401"/>
    <w:rsid w:val="0017490B"/>
    <w:rsid w:val="00174922"/>
    <w:rsid w:val="00175AA2"/>
    <w:rsid w:val="00176752"/>
    <w:rsid w:val="001771A1"/>
    <w:rsid w:val="00177EF9"/>
    <w:rsid w:val="00183AB3"/>
    <w:rsid w:val="00185374"/>
    <w:rsid w:val="0018667F"/>
    <w:rsid w:val="00191690"/>
    <w:rsid w:val="001950F7"/>
    <w:rsid w:val="00195822"/>
    <w:rsid w:val="00197019"/>
    <w:rsid w:val="001A0615"/>
    <w:rsid w:val="001A0AE1"/>
    <w:rsid w:val="001A3420"/>
    <w:rsid w:val="001A3943"/>
    <w:rsid w:val="001A51A0"/>
    <w:rsid w:val="001A5D60"/>
    <w:rsid w:val="001B297C"/>
    <w:rsid w:val="001B6392"/>
    <w:rsid w:val="001B7274"/>
    <w:rsid w:val="001B7D03"/>
    <w:rsid w:val="001C04B1"/>
    <w:rsid w:val="001C08F1"/>
    <w:rsid w:val="001C0EAB"/>
    <w:rsid w:val="001C1832"/>
    <w:rsid w:val="001C264D"/>
    <w:rsid w:val="001C5FF1"/>
    <w:rsid w:val="001D2DB0"/>
    <w:rsid w:val="001D6228"/>
    <w:rsid w:val="001E0985"/>
    <w:rsid w:val="001E1FE1"/>
    <w:rsid w:val="001E223E"/>
    <w:rsid w:val="001E29FC"/>
    <w:rsid w:val="001E3D0F"/>
    <w:rsid w:val="001E5999"/>
    <w:rsid w:val="001E7EAE"/>
    <w:rsid w:val="001F19D3"/>
    <w:rsid w:val="001F40A9"/>
    <w:rsid w:val="001F7988"/>
    <w:rsid w:val="002020F9"/>
    <w:rsid w:val="00202159"/>
    <w:rsid w:val="00203EDD"/>
    <w:rsid w:val="00206E14"/>
    <w:rsid w:val="00207867"/>
    <w:rsid w:val="00210DE1"/>
    <w:rsid w:val="002149D6"/>
    <w:rsid w:val="00215059"/>
    <w:rsid w:val="0022010B"/>
    <w:rsid w:val="002218D1"/>
    <w:rsid w:val="0022253E"/>
    <w:rsid w:val="0022297A"/>
    <w:rsid w:val="00234317"/>
    <w:rsid w:val="00235F8A"/>
    <w:rsid w:val="00237CE1"/>
    <w:rsid w:val="0024105D"/>
    <w:rsid w:val="0024195F"/>
    <w:rsid w:val="002448F9"/>
    <w:rsid w:val="00244A98"/>
    <w:rsid w:val="00244D5B"/>
    <w:rsid w:val="002456ED"/>
    <w:rsid w:val="00250A2F"/>
    <w:rsid w:val="00255250"/>
    <w:rsid w:val="002600CD"/>
    <w:rsid w:val="00264AF0"/>
    <w:rsid w:val="00271086"/>
    <w:rsid w:val="002734DE"/>
    <w:rsid w:val="00276886"/>
    <w:rsid w:val="00277B9B"/>
    <w:rsid w:val="00284B06"/>
    <w:rsid w:val="00285935"/>
    <w:rsid w:val="00287002"/>
    <w:rsid w:val="00287F5D"/>
    <w:rsid w:val="00296DD2"/>
    <w:rsid w:val="002970BF"/>
    <w:rsid w:val="002A12FD"/>
    <w:rsid w:val="002A132F"/>
    <w:rsid w:val="002A2E90"/>
    <w:rsid w:val="002A3A60"/>
    <w:rsid w:val="002A4B0A"/>
    <w:rsid w:val="002A6A68"/>
    <w:rsid w:val="002B0BAF"/>
    <w:rsid w:val="002B18A9"/>
    <w:rsid w:val="002B3CF1"/>
    <w:rsid w:val="002B4953"/>
    <w:rsid w:val="002B581F"/>
    <w:rsid w:val="002B5D66"/>
    <w:rsid w:val="002B7B88"/>
    <w:rsid w:val="002C3D12"/>
    <w:rsid w:val="002C3E2C"/>
    <w:rsid w:val="002D0DB6"/>
    <w:rsid w:val="002D3782"/>
    <w:rsid w:val="002D3B2F"/>
    <w:rsid w:val="002D472C"/>
    <w:rsid w:val="002E1F25"/>
    <w:rsid w:val="002E26BF"/>
    <w:rsid w:val="002E3842"/>
    <w:rsid w:val="002E438C"/>
    <w:rsid w:val="002E49E3"/>
    <w:rsid w:val="002E52E4"/>
    <w:rsid w:val="002E68F7"/>
    <w:rsid w:val="002F0E10"/>
    <w:rsid w:val="002F40F1"/>
    <w:rsid w:val="002F419E"/>
    <w:rsid w:val="002F4624"/>
    <w:rsid w:val="002F670A"/>
    <w:rsid w:val="002F6CDE"/>
    <w:rsid w:val="003025A9"/>
    <w:rsid w:val="00316FC0"/>
    <w:rsid w:val="00320D31"/>
    <w:rsid w:val="0032329D"/>
    <w:rsid w:val="00323319"/>
    <w:rsid w:val="00330532"/>
    <w:rsid w:val="00334CE9"/>
    <w:rsid w:val="003401E5"/>
    <w:rsid w:val="0034086B"/>
    <w:rsid w:val="003434CC"/>
    <w:rsid w:val="00352F48"/>
    <w:rsid w:val="00355EAD"/>
    <w:rsid w:val="00360BAD"/>
    <w:rsid w:val="003628A5"/>
    <w:rsid w:val="0036560E"/>
    <w:rsid w:val="003662B5"/>
    <w:rsid w:val="0037010A"/>
    <w:rsid w:val="00371DF6"/>
    <w:rsid w:val="00373FBF"/>
    <w:rsid w:val="00374398"/>
    <w:rsid w:val="003760D3"/>
    <w:rsid w:val="0038134C"/>
    <w:rsid w:val="003856D3"/>
    <w:rsid w:val="0039048A"/>
    <w:rsid w:val="00392D2C"/>
    <w:rsid w:val="0039383A"/>
    <w:rsid w:val="00396349"/>
    <w:rsid w:val="003A2177"/>
    <w:rsid w:val="003A32DB"/>
    <w:rsid w:val="003A3742"/>
    <w:rsid w:val="003A37C3"/>
    <w:rsid w:val="003A6041"/>
    <w:rsid w:val="003A7977"/>
    <w:rsid w:val="003B0270"/>
    <w:rsid w:val="003B29BB"/>
    <w:rsid w:val="003B3D30"/>
    <w:rsid w:val="003B7FA9"/>
    <w:rsid w:val="003C0D4D"/>
    <w:rsid w:val="003C46F7"/>
    <w:rsid w:val="003C5074"/>
    <w:rsid w:val="003D2BFD"/>
    <w:rsid w:val="003E22D3"/>
    <w:rsid w:val="003E3AF2"/>
    <w:rsid w:val="003F03F1"/>
    <w:rsid w:val="003F61DC"/>
    <w:rsid w:val="004014B5"/>
    <w:rsid w:val="00401DEE"/>
    <w:rsid w:val="004023F5"/>
    <w:rsid w:val="0040466B"/>
    <w:rsid w:val="0040483B"/>
    <w:rsid w:val="00415B8F"/>
    <w:rsid w:val="004167C2"/>
    <w:rsid w:val="00421136"/>
    <w:rsid w:val="00421A20"/>
    <w:rsid w:val="00423262"/>
    <w:rsid w:val="0042431F"/>
    <w:rsid w:val="004245B0"/>
    <w:rsid w:val="00427DD5"/>
    <w:rsid w:val="00430116"/>
    <w:rsid w:val="0043282C"/>
    <w:rsid w:val="00433729"/>
    <w:rsid w:val="00435093"/>
    <w:rsid w:val="004351C9"/>
    <w:rsid w:val="00435DE9"/>
    <w:rsid w:val="004361F1"/>
    <w:rsid w:val="0043778B"/>
    <w:rsid w:val="00437FCC"/>
    <w:rsid w:val="00441186"/>
    <w:rsid w:val="00442CA6"/>
    <w:rsid w:val="00444F5D"/>
    <w:rsid w:val="004454A1"/>
    <w:rsid w:val="00446583"/>
    <w:rsid w:val="00450EE3"/>
    <w:rsid w:val="004523F8"/>
    <w:rsid w:val="00455EC0"/>
    <w:rsid w:val="0045658C"/>
    <w:rsid w:val="00457A07"/>
    <w:rsid w:val="00460463"/>
    <w:rsid w:val="00462FD9"/>
    <w:rsid w:val="00463155"/>
    <w:rsid w:val="00465B87"/>
    <w:rsid w:val="00466198"/>
    <w:rsid w:val="00466BA8"/>
    <w:rsid w:val="00466FC3"/>
    <w:rsid w:val="00472C90"/>
    <w:rsid w:val="00473071"/>
    <w:rsid w:val="00475D8E"/>
    <w:rsid w:val="00477631"/>
    <w:rsid w:val="00481AC9"/>
    <w:rsid w:val="00482AA6"/>
    <w:rsid w:val="004845F2"/>
    <w:rsid w:val="00490090"/>
    <w:rsid w:val="0049088B"/>
    <w:rsid w:val="004969A0"/>
    <w:rsid w:val="004A0F64"/>
    <w:rsid w:val="004A2764"/>
    <w:rsid w:val="004A3246"/>
    <w:rsid w:val="004A52B3"/>
    <w:rsid w:val="004A6F16"/>
    <w:rsid w:val="004B1C91"/>
    <w:rsid w:val="004B2FF4"/>
    <w:rsid w:val="004B304E"/>
    <w:rsid w:val="004B625F"/>
    <w:rsid w:val="004B689C"/>
    <w:rsid w:val="004C32EA"/>
    <w:rsid w:val="004C7FF3"/>
    <w:rsid w:val="004D66B5"/>
    <w:rsid w:val="004E08DE"/>
    <w:rsid w:val="004E35DB"/>
    <w:rsid w:val="004F30D1"/>
    <w:rsid w:val="004F3243"/>
    <w:rsid w:val="004F45C1"/>
    <w:rsid w:val="004F7BFC"/>
    <w:rsid w:val="0050018D"/>
    <w:rsid w:val="00502656"/>
    <w:rsid w:val="005026AC"/>
    <w:rsid w:val="00502E27"/>
    <w:rsid w:val="00506DB5"/>
    <w:rsid w:val="005120DB"/>
    <w:rsid w:val="00515DB5"/>
    <w:rsid w:val="005167EF"/>
    <w:rsid w:val="0052091A"/>
    <w:rsid w:val="00524EEA"/>
    <w:rsid w:val="005253F9"/>
    <w:rsid w:val="0052683C"/>
    <w:rsid w:val="005329AC"/>
    <w:rsid w:val="005368E5"/>
    <w:rsid w:val="00541685"/>
    <w:rsid w:val="00542DF0"/>
    <w:rsid w:val="00544DD5"/>
    <w:rsid w:val="0054553F"/>
    <w:rsid w:val="0054557F"/>
    <w:rsid w:val="005523CC"/>
    <w:rsid w:val="005529F7"/>
    <w:rsid w:val="005553D0"/>
    <w:rsid w:val="00557C2C"/>
    <w:rsid w:val="00557D1E"/>
    <w:rsid w:val="00560AB0"/>
    <w:rsid w:val="00561FC7"/>
    <w:rsid w:val="00565956"/>
    <w:rsid w:val="005838F5"/>
    <w:rsid w:val="005860B2"/>
    <w:rsid w:val="00587E25"/>
    <w:rsid w:val="00587EE2"/>
    <w:rsid w:val="005903A5"/>
    <w:rsid w:val="005922D5"/>
    <w:rsid w:val="00593644"/>
    <w:rsid w:val="00593BF9"/>
    <w:rsid w:val="00593EA5"/>
    <w:rsid w:val="00594512"/>
    <w:rsid w:val="00595187"/>
    <w:rsid w:val="005966BD"/>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FCF"/>
    <w:rsid w:val="00603AF3"/>
    <w:rsid w:val="00603D49"/>
    <w:rsid w:val="00604573"/>
    <w:rsid w:val="00610D36"/>
    <w:rsid w:val="00612150"/>
    <w:rsid w:val="00613227"/>
    <w:rsid w:val="00615B53"/>
    <w:rsid w:val="006160D3"/>
    <w:rsid w:val="006163D5"/>
    <w:rsid w:val="00616416"/>
    <w:rsid w:val="006215FE"/>
    <w:rsid w:val="006240A1"/>
    <w:rsid w:val="00625B94"/>
    <w:rsid w:val="0062618E"/>
    <w:rsid w:val="00627119"/>
    <w:rsid w:val="00634B7C"/>
    <w:rsid w:val="00635BB1"/>
    <w:rsid w:val="006373B2"/>
    <w:rsid w:val="00641D2D"/>
    <w:rsid w:val="006441F1"/>
    <w:rsid w:val="00646159"/>
    <w:rsid w:val="006558C1"/>
    <w:rsid w:val="00656215"/>
    <w:rsid w:val="00660CED"/>
    <w:rsid w:val="00660F59"/>
    <w:rsid w:val="0066285F"/>
    <w:rsid w:val="006652D1"/>
    <w:rsid w:val="006668AA"/>
    <w:rsid w:val="00666EDA"/>
    <w:rsid w:val="00667DD9"/>
    <w:rsid w:val="00671B43"/>
    <w:rsid w:val="00681587"/>
    <w:rsid w:val="00681D0C"/>
    <w:rsid w:val="006822F3"/>
    <w:rsid w:val="006830A0"/>
    <w:rsid w:val="00683E11"/>
    <w:rsid w:val="006928DB"/>
    <w:rsid w:val="00693967"/>
    <w:rsid w:val="00696340"/>
    <w:rsid w:val="006A64C3"/>
    <w:rsid w:val="006A7A2E"/>
    <w:rsid w:val="006B0149"/>
    <w:rsid w:val="006B0D6E"/>
    <w:rsid w:val="006B38A3"/>
    <w:rsid w:val="006B3E77"/>
    <w:rsid w:val="006B440E"/>
    <w:rsid w:val="006B4C97"/>
    <w:rsid w:val="006C06A7"/>
    <w:rsid w:val="006C12EB"/>
    <w:rsid w:val="006C29FB"/>
    <w:rsid w:val="006C49C2"/>
    <w:rsid w:val="006C5F66"/>
    <w:rsid w:val="006C7E47"/>
    <w:rsid w:val="006E363A"/>
    <w:rsid w:val="006E387D"/>
    <w:rsid w:val="006E576A"/>
    <w:rsid w:val="006E7E5F"/>
    <w:rsid w:val="00701ADD"/>
    <w:rsid w:val="00703374"/>
    <w:rsid w:val="007044B6"/>
    <w:rsid w:val="00707D0C"/>
    <w:rsid w:val="00710348"/>
    <w:rsid w:val="00711140"/>
    <w:rsid w:val="00712FDD"/>
    <w:rsid w:val="007147A9"/>
    <w:rsid w:val="00716278"/>
    <w:rsid w:val="007163FC"/>
    <w:rsid w:val="00720CAD"/>
    <w:rsid w:val="007217FF"/>
    <w:rsid w:val="00721DE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3A2E"/>
    <w:rsid w:val="00784EB0"/>
    <w:rsid w:val="00785ACA"/>
    <w:rsid w:val="007871C1"/>
    <w:rsid w:val="00790A7D"/>
    <w:rsid w:val="00795ADD"/>
    <w:rsid w:val="00797931"/>
    <w:rsid w:val="007A01A7"/>
    <w:rsid w:val="007A0BBF"/>
    <w:rsid w:val="007A2A9D"/>
    <w:rsid w:val="007A5836"/>
    <w:rsid w:val="007B1038"/>
    <w:rsid w:val="007B15EE"/>
    <w:rsid w:val="007B4856"/>
    <w:rsid w:val="007B77EC"/>
    <w:rsid w:val="007C0FC4"/>
    <w:rsid w:val="007C20FF"/>
    <w:rsid w:val="007C3D41"/>
    <w:rsid w:val="007C53FB"/>
    <w:rsid w:val="007C72EB"/>
    <w:rsid w:val="007D047A"/>
    <w:rsid w:val="007D112C"/>
    <w:rsid w:val="007D2620"/>
    <w:rsid w:val="007D2DE0"/>
    <w:rsid w:val="007D72C9"/>
    <w:rsid w:val="007E1750"/>
    <w:rsid w:val="007E25E8"/>
    <w:rsid w:val="007E2765"/>
    <w:rsid w:val="007E2B24"/>
    <w:rsid w:val="007E2EAF"/>
    <w:rsid w:val="007E4038"/>
    <w:rsid w:val="007E4A7B"/>
    <w:rsid w:val="007E5136"/>
    <w:rsid w:val="007E520F"/>
    <w:rsid w:val="007F0E3B"/>
    <w:rsid w:val="007F1B49"/>
    <w:rsid w:val="007F51BD"/>
    <w:rsid w:val="007F5D6E"/>
    <w:rsid w:val="007F7526"/>
    <w:rsid w:val="007F75F3"/>
    <w:rsid w:val="007F7F8D"/>
    <w:rsid w:val="008004A3"/>
    <w:rsid w:val="00810D03"/>
    <w:rsid w:val="00811143"/>
    <w:rsid w:val="00815FA2"/>
    <w:rsid w:val="0082076C"/>
    <w:rsid w:val="00820F0A"/>
    <w:rsid w:val="00822F99"/>
    <w:rsid w:val="00824555"/>
    <w:rsid w:val="00826B4A"/>
    <w:rsid w:val="0083511C"/>
    <w:rsid w:val="008361C1"/>
    <w:rsid w:val="008373AE"/>
    <w:rsid w:val="00840F19"/>
    <w:rsid w:val="00843923"/>
    <w:rsid w:val="00843B89"/>
    <w:rsid w:val="00843BF3"/>
    <w:rsid w:val="00843D66"/>
    <w:rsid w:val="00843FBA"/>
    <w:rsid w:val="00844BAD"/>
    <w:rsid w:val="008463BB"/>
    <w:rsid w:val="00846564"/>
    <w:rsid w:val="0085191E"/>
    <w:rsid w:val="00853848"/>
    <w:rsid w:val="008603C9"/>
    <w:rsid w:val="008714D0"/>
    <w:rsid w:val="00873407"/>
    <w:rsid w:val="00874A9B"/>
    <w:rsid w:val="008751EB"/>
    <w:rsid w:val="00876541"/>
    <w:rsid w:val="00877850"/>
    <w:rsid w:val="00877A9A"/>
    <w:rsid w:val="008825B7"/>
    <w:rsid w:val="00883B34"/>
    <w:rsid w:val="00883F13"/>
    <w:rsid w:val="00887184"/>
    <w:rsid w:val="0088722F"/>
    <w:rsid w:val="00894EA3"/>
    <w:rsid w:val="00897762"/>
    <w:rsid w:val="008A2595"/>
    <w:rsid w:val="008A3873"/>
    <w:rsid w:val="008A5898"/>
    <w:rsid w:val="008A5AAC"/>
    <w:rsid w:val="008B356F"/>
    <w:rsid w:val="008B7CC4"/>
    <w:rsid w:val="008C0323"/>
    <w:rsid w:val="008C219C"/>
    <w:rsid w:val="008C38F9"/>
    <w:rsid w:val="008C7858"/>
    <w:rsid w:val="008D095C"/>
    <w:rsid w:val="008D1C2A"/>
    <w:rsid w:val="008D3411"/>
    <w:rsid w:val="008D7030"/>
    <w:rsid w:val="008E0780"/>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177FF"/>
    <w:rsid w:val="00922D27"/>
    <w:rsid w:val="009340D1"/>
    <w:rsid w:val="009376E1"/>
    <w:rsid w:val="009427EC"/>
    <w:rsid w:val="00943CFF"/>
    <w:rsid w:val="00944596"/>
    <w:rsid w:val="0094471F"/>
    <w:rsid w:val="00945C03"/>
    <w:rsid w:val="009479F2"/>
    <w:rsid w:val="009519FE"/>
    <w:rsid w:val="00954B4F"/>
    <w:rsid w:val="00964D78"/>
    <w:rsid w:val="00967B1F"/>
    <w:rsid w:val="00977A74"/>
    <w:rsid w:val="009840D5"/>
    <w:rsid w:val="0098712B"/>
    <w:rsid w:val="0098762B"/>
    <w:rsid w:val="00987CF6"/>
    <w:rsid w:val="00991D11"/>
    <w:rsid w:val="009A1E5B"/>
    <w:rsid w:val="009A254B"/>
    <w:rsid w:val="009A40B7"/>
    <w:rsid w:val="009A4B3B"/>
    <w:rsid w:val="009A510C"/>
    <w:rsid w:val="009A5615"/>
    <w:rsid w:val="009B7327"/>
    <w:rsid w:val="009C2AAB"/>
    <w:rsid w:val="009C44D2"/>
    <w:rsid w:val="009C52BD"/>
    <w:rsid w:val="009D10F3"/>
    <w:rsid w:val="009D1867"/>
    <w:rsid w:val="009D4C01"/>
    <w:rsid w:val="009E280F"/>
    <w:rsid w:val="009E4AD3"/>
    <w:rsid w:val="009F7484"/>
    <w:rsid w:val="00A016D4"/>
    <w:rsid w:val="00A11309"/>
    <w:rsid w:val="00A11DE0"/>
    <w:rsid w:val="00A1355F"/>
    <w:rsid w:val="00A146DD"/>
    <w:rsid w:val="00A20DB5"/>
    <w:rsid w:val="00A21D89"/>
    <w:rsid w:val="00A22442"/>
    <w:rsid w:val="00A32A86"/>
    <w:rsid w:val="00A37479"/>
    <w:rsid w:val="00A453B1"/>
    <w:rsid w:val="00A46417"/>
    <w:rsid w:val="00A52E38"/>
    <w:rsid w:val="00A574A1"/>
    <w:rsid w:val="00A57755"/>
    <w:rsid w:val="00A57AFC"/>
    <w:rsid w:val="00A57FBE"/>
    <w:rsid w:val="00A63748"/>
    <w:rsid w:val="00A64170"/>
    <w:rsid w:val="00A64584"/>
    <w:rsid w:val="00A66C9E"/>
    <w:rsid w:val="00A7024B"/>
    <w:rsid w:val="00A72CCD"/>
    <w:rsid w:val="00A72F44"/>
    <w:rsid w:val="00A72F93"/>
    <w:rsid w:val="00A75269"/>
    <w:rsid w:val="00A81EA6"/>
    <w:rsid w:val="00A85E8F"/>
    <w:rsid w:val="00A86901"/>
    <w:rsid w:val="00A90B69"/>
    <w:rsid w:val="00A943B0"/>
    <w:rsid w:val="00A96E2A"/>
    <w:rsid w:val="00AA17CA"/>
    <w:rsid w:val="00AA569B"/>
    <w:rsid w:val="00AA6FD2"/>
    <w:rsid w:val="00AA7106"/>
    <w:rsid w:val="00AB101E"/>
    <w:rsid w:val="00AB2839"/>
    <w:rsid w:val="00AB688E"/>
    <w:rsid w:val="00AB7A4F"/>
    <w:rsid w:val="00AC2B82"/>
    <w:rsid w:val="00AC4726"/>
    <w:rsid w:val="00AC5BA3"/>
    <w:rsid w:val="00AC66DF"/>
    <w:rsid w:val="00AC73C5"/>
    <w:rsid w:val="00AD09C0"/>
    <w:rsid w:val="00AD3D0D"/>
    <w:rsid w:val="00AD4527"/>
    <w:rsid w:val="00AD56F3"/>
    <w:rsid w:val="00AD7B2C"/>
    <w:rsid w:val="00AE0043"/>
    <w:rsid w:val="00AE0DF7"/>
    <w:rsid w:val="00AE20B2"/>
    <w:rsid w:val="00AE2AA7"/>
    <w:rsid w:val="00AE2DFB"/>
    <w:rsid w:val="00AE2F17"/>
    <w:rsid w:val="00AE6B96"/>
    <w:rsid w:val="00AF3B2F"/>
    <w:rsid w:val="00AF4CB1"/>
    <w:rsid w:val="00AF5C2D"/>
    <w:rsid w:val="00B020C4"/>
    <w:rsid w:val="00B03503"/>
    <w:rsid w:val="00B06281"/>
    <w:rsid w:val="00B066C1"/>
    <w:rsid w:val="00B06C43"/>
    <w:rsid w:val="00B10E4C"/>
    <w:rsid w:val="00B119AC"/>
    <w:rsid w:val="00B11EEE"/>
    <w:rsid w:val="00B12530"/>
    <w:rsid w:val="00B1276A"/>
    <w:rsid w:val="00B16386"/>
    <w:rsid w:val="00B16C44"/>
    <w:rsid w:val="00B16DE9"/>
    <w:rsid w:val="00B323A3"/>
    <w:rsid w:val="00B34C3B"/>
    <w:rsid w:val="00B40946"/>
    <w:rsid w:val="00B4167E"/>
    <w:rsid w:val="00B4494B"/>
    <w:rsid w:val="00B4623D"/>
    <w:rsid w:val="00B4762E"/>
    <w:rsid w:val="00B5188F"/>
    <w:rsid w:val="00B66175"/>
    <w:rsid w:val="00B661FB"/>
    <w:rsid w:val="00B66202"/>
    <w:rsid w:val="00B66CC1"/>
    <w:rsid w:val="00B7126F"/>
    <w:rsid w:val="00B74E34"/>
    <w:rsid w:val="00B75EC3"/>
    <w:rsid w:val="00B77C68"/>
    <w:rsid w:val="00B827A2"/>
    <w:rsid w:val="00B83125"/>
    <w:rsid w:val="00B8743F"/>
    <w:rsid w:val="00B914CC"/>
    <w:rsid w:val="00B91E3E"/>
    <w:rsid w:val="00BA2B49"/>
    <w:rsid w:val="00BA4462"/>
    <w:rsid w:val="00BB2732"/>
    <w:rsid w:val="00BB3275"/>
    <w:rsid w:val="00BB3995"/>
    <w:rsid w:val="00BB5CF5"/>
    <w:rsid w:val="00BB6203"/>
    <w:rsid w:val="00BC44D9"/>
    <w:rsid w:val="00BC539C"/>
    <w:rsid w:val="00BC7ED2"/>
    <w:rsid w:val="00BD5E14"/>
    <w:rsid w:val="00BE0360"/>
    <w:rsid w:val="00BE038D"/>
    <w:rsid w:val="00BE08C2"/>
    <w:rsid w:val="00BE2DC3"/>
    <w:rsid w:val="00BE4E5B"/>
    <w:rsid w:val="00BE4E85"/>
    <w:rsid w:val="00BE5DE5"/>
    <w:rsid w:val="00BF1387"/>
    <w:rsid w:val="00BF457A"/>
    <w:rsid w:val="00C031C1"/>
    <w:rsid w:val="00C1091D"/>
    <w:rsid w:val="00C12FF7"/>
    <w:rsid w:val="00C163D7"/>
    <w:rsid w:val="00C17E2E"/>
    <w:rsid w:val="00C2184D"/>
    <w:rsid w:val="00C21D54"/>
    <w:rsid w:val="00C23853"/>
    <w:rsid w:val="00C24DA5"/>
    <w:rsid w:val="00C2660C"/>
    <w:rsid w:val="00C33528"/>
    <w:rsid w:val="00C340A7"/>
    <w:rsid w:val="00C34355"/>
    <w:rsid w:val="00C34D89"/>
    <w:rsid w:val="00C351A8"/>
    <w:rsid w:val="00C36819"/>
    <w:rsid w:val="00C43DDB"/>
    <w:rsid w:val="00C44F8B"/>
    <w:rsid w:val="00C477A5"/>
    <w:rsid w:val="00C479F6"/>
    <w:rsid w:val="00C5402B"/>
    <w:rsid w:val="00C54B2A"/>
    <w:rsid w:val="00C55CEF"/>
    <w:rsid w:val="00C56A7D"/>
    <w:rsid w:val="00C57B6D"/>
    <w:rsid w:val="00C72F30"/>
    <w:rsid w:val="00C73D00"/>
    <w:rsid w:val="00C809DC"/>
    <w:rsid w:val="00C8591D"/>
    <w:rsid w:val="00C92E8F"/>
    <w:rsid w:val="00C96B8E"/>
    <w:rsid w:val="00C97C94"/>
    <w:rsid w:val="00CA37FB"/>
    <w:rsid w:val="00CA3ACD"/>
    <w:rsid w:val="00CA4787"/>
    <w:rsid w:val="00CA5D70"/>
    <w:rsid w:val="00CB0C7A"/>
    <w:rsid w:val="00CB15A2"/>
    <w:rsid w:val="00CB339F"/>
    <w:rsid w:val="00CB3DBB"/>
    <w:rsid w:val="00CB6EDC"/>
    <w:rsid w:val="00CC484F"/>
    <w:rsid w:val="00CC5BE3"/>
    <w:rsid w:val="00CD0A34"/>
    <w:rsid w:val="00CD1E22"/>
    <w:rsid w:val="00CD2727"/>
    <w:rsid w:val="00CD2A8F"/>
    <w:rsid w:val="00CD4459"/>
    <w:rsid w:val="00CD4A88"/>
    <w:rsid w:val="00CD57D4"/>
    <w:rsid w:val="00CD625B"/>
    <w:rsid w:val="00CE10BE"/>
    <w:rsid w:val="00CE23C0"/>
    <w:rsid w:val="00CE5827"/>
    <w:rsid w:val="00CE708B"/>
    <w:rsid w:val="00CF5151"/>
    <w:rsid w:val="00CF52E3"/>
    <w:rsid w:val="00CF5464"/>
    <w:rsid w:val="00CF7D81"/>
    <w:rsid w:val="00D04EF6"/>
    <w:rsid w:val="00D058CC"/>
    <w:rsid w:val="00D066AC"/>
    <w:rsid w:val="00D166ED"/>
    <w:rsid w:val="00D16AF7"/>
    <w:rsid w:val="00D22908"/>
    <w:rsid w:val="00D23A02"/>
    <w:rsid w:val="00D24033"/>
    <w:rsid w:val="00D27496"/>
    <w:rsid w:val="00D31786"/>
    <w:rsid w:val="00D36500"/>
    <w:rsid w:val="00D369A2"/>
    <w:rsid w:val="00D40696"/>
    <w:rsid w:val="00D417D5"/>
    <w:rsid w:val="00D44C2A"/>
    <w:rsid w:val="00D465C8"/>
    <w:rsid w:val="00D51A8B"/>
    <w:rsid w:val="00D51DCA"/>
    <w:rsid w:val="00D536E0"/>
    <w:rsid w:val="00D568F5"/>
    <w:rsid w:val="00D57B03"/>
    <w:rsid w:val="00D61DD8"/>
    <w:rsid w:val="00D62BE7"/>
    <w:rsid w:val="00D62F62"/>
    <w:rsid w:val="00D64A76"/>
    <w:rsid w:val="00D65D93"/>
    <w:rsid w:val="00D700E2"/>
    <w:rsid w:val="00D74DCE"/>
    <w:rsid w:val="00D8291F"/>
    <w:rsid w:val="00D84174"/>
    <w:rsid w:val="00D87460"/>
    <w:rsid w:val="00D87E79"/>
    <w:rsid w:val="00D93577"/>
    <w:rsid w:val="00D95861"/>
    <w:rsid w:val="00DA180B"/>
    <w:rsid w:val="00DA57F1"/>
    <w:rsid w:val="00DA5ED8"/>
    <w:rsid w:val="00DB2346"/>
    <w:rsid w:val="00DB4645"/>
    <w:rsid w:val="00DB4A3A"/>
    <w:rsid w:val="00DB51A9"/>
    <w:rsid w:val="00DB6947"/>
    <w:rsid w:val="00DC065C"/>
    <w:rsid w:val="00DC5A9A"/>
    <w:rsid w:val="00DC5E64"/>
    <w:rsid w:val="00DC5F6E"/>
    <w:rsid w:val="00DC6860"/>
    <w:rsid w:val="00DC6874"/>
    <w:rsid w:val="00DD0A9A"/>
    <w:rsid w:val="00DD2763"/>
    <w:rsid w:val="00DD2DFB"/>
    <w:rsid w:val="00DD4827"/>
    <w:rsid w:val="00DD7040"/>
    <w:rsid w:val="00DF139A"/>
    <w:rsid w:val="00DF169F"/>
    <w:rsid w:val="00DF5154"/>
    <w:rsid w:val="00DF5214"/>
    <w:rsid w:val="00DF78E9"/>
    <w:rsid w:val="00E03038"/>
    <w:rsid w:val="00E0461F"/>
    <w:rsid w:val="00E114F8"/>
    <w:rsid w:val="00E160DE"/>
    <w:rsid w:val="00E20F82"/>
    <w:rsid w:val="00E22316"/>
    <w:rsid w:val="00E22735"/>
    <w:rsid w:val="00E2341D"/>
    <w:rsid w:val="00E2560A"/>
    <w:rsid w:val="00E26587"/>
    <w:rsid w:val="00E265FD"/>
    <w:rsid w:val="00E34D83"/>
    <w:rsid w:val="00E42E57"/>
    <w:rsid w:val="00E443A3"/>
    <w:rsid w:val="00E50EB6"/>
    <w:rsid w:val="00E56AB4"/>
    <w:rsid w:val="00E572FC"/>
    <w:rsid w:val="00E60E00"/>
    <w:rsid w:val="00E619F9"/>
    <w:rsid w:val="00E61FF5"/>
    <w:rsid w:val="00E652C4"/>
    <w:rsid w:val="00E65983"/>
    <w:rsid w:val="00E74CE0"/>
    <w:rsid w:val="00E77F0A"/>
    <w:rsid w:val="00E8022C"/>
    <w:rsid w:val="00E81871"/>
    <w:rsid w:val="00E83D67"/>
    <w:rsid w:val="00E846D8"/>
    <w:rsid w:val="00E85A6D"/>
    <w:rsid w:val="00E920E5"/>
    <w:rsid w:val="00E96A92"/>
    <w:rsid w:val="00E974A2"/>
    <w:rsid w:val="00E97A95"/>
    <w:rsid w:val="00EA1274"/>
    <w:rsid w:val="00EA2545"/>
    <w:rsid w:val="00EA3802"/>
    <w:rsid w:val="00EA39FF"/>
    <w:rsid w:val="00EA42A2"/>
    <w:rsid w:val="00EA711B"/>
    <w:rsid w:val="00EB1FF2"/>
    <w:rsid w:val="00EB43B2"/>
    <w:rsid w:val="00EB7FE4"/>
    <w:rsid w:val="00EC17FA"/>
    <w:rsid w:val="00EC40AD"/>
    <w:rsid w:val="00EC4EBB"/>
    <w:rsid w:val="00EC53AC"/>
    <w:rsid w:val="00EC75F4"/>
    <w:rsid w:val="00EC7EB5"/>
    <w:rsid w:val="00ED030C"/>
    <w:rsid w:val="00ED509C"/>
    <w:rsid w:val="00EE10CE"/>
    <w:rsid w:val="00EE2633"/>
    <w:rsid w:val="00EF29DE"/>
    <w:rsid w:val="00EF54D6"/>
    <w:rsid w:val="00EF7855"/>
    <w:rsid w:val="00F02B68"/>
    <w:rsid w:val="00F03049"/>
    <w:rsid w:val="00F031C1"/>
    <w:rsid w:val="00F03328"/>
    <w:rsid w:val="00F03693"/>
    <w:rsid w:val="00F036FE"/>
    <w:rsid w:val="00F03E70"/>
    <w:rsid w:val="00F074CA"/>
    <w:rsid w:val="00F119B8"/>
    <w:rsid w:val="00F13089"/>
    <w:rsid w:val="00F15AF0"/>
    <w:rsid w:val="00F20A23"/>
    <w:rsid w:val="00F22A2A"/>
    <w:rsid w:val="00F23F60"/>
    <w:rsid w:val="00F3048F"/>
    <w:rsid w:val="00F34515"/>
    <w:rsid w:val="00F345BF"/>
    <w:rsid w:val="00F412B1"/>
    <w:rsid w:val="00F4194B"/>
    <w:rsid w:val="00F557FD"/>
    <w:rsid w:val="00F60430"/>
    <w:rsid w:val="00F64AE8"/>
    <w:rsid w:val="00F66237"/>
    <w:rsid w:val="00F67865"/>
    <w:rsid w:val="00F67D8E"/>
    <w:rsid w:val="00F72FBD"/>
    <w:rsid w:val="00F73868"/>
    <w:rsid w:val="00F85A52"/>
    <w:rsid w:val="00F903A0"/>
    <w:rsid w:val="00F92594"/>
    <w:rsid w:val="00F959A8"/>
    <w:rsid w:val="00FA0DEE"/>
    <w:rsid w:val="00FA7C8A"/>
    <w:rsid w:val="00FB162F"/>
    <w:rsid w:val="00FB7220"/>
    <w:rsid w:val="00FC34BC"/>
    <w:rsid w:val="00FC3C1B"/>
    <w:rsid w:val="00FC6F2E"/>
    <w:rsid w:val="00FC777C"/>
    <w:rsid w:val="00FD1F07"/>
    <w:rsid w:val="00FD1FCC"/>
    <w:rsid w:val="00FD226E"/>
    <w:rsid w:val="00FD3956"/>
    <w:rsid w:val="00FD5FC0"/>
    <w:rsid w:val="00FD619D"/>
    <w:rsid w:val="00FD6959"/>
    <w:rsid w:val="00FE1694"/>
    <w:rsid w:val="00FE31F2"/>
    <w:rsid w:val="00FE4A21"/>
    <w:rsid w:val="00FE5469"/>
    <w:rsid w:val="00FE7B3A"/>
    <w:rsid w:val="00FF5127"/>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58832316">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11\Group%202a\Health%20Education%20(with%20Home%20Economics)\Feedback%20HHE%20Phase%201\HEHE%20graph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baseline="0">
                <a:effectLst/>
              </a:rPr>
              <a:t>What is your overall impression of the Learning Matrix?</a:t>
            </a:r>
            <a:endParaRPr lang="en-NZ"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2B0-43B6-A448-46D641EAFB6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2B0-43B6-A448-46D641EAFB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35</c:v>
                </c:pt>
                <c:pt idx="1">
                  <c:v>65</c:v>
                </c:pt>
              </c:numCache>
            </c:numRef>
          </c:val>
          <c:extLst>
            <c:ext xmlns:c16="http://schemas.microsoft.com/office/drawing/2014/chart" uri="{C3380CC4-5D6E-409C-BE32-E72D297353CC}">
              <c16:uniqueId val="{00000004-42B0-43B6-A448-46D641EAFB6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NZ" sz="1000" b="0" i="0">
                <a:effectLst/>
              </a:rPr>
              <a:t>What is your overall impression of the Teaching, Learning, and Assessment Guide?</a:t>
            </a:r>
          </a:p>
        </c:rich>
      </c:tx>
      <c:layout>
        <c:manualLayout>
          <c:xMode val="edge"/>
          <c:yMode val="edge"/>
          <c:x val="8.5455626640419946E-2"/>
          <c:y val="3.598200899550224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7E0-4C33-8F2C-2BF67F6A922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7E0-4C33-8F2C-2BF67F6A92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29</c:v>
                </c:pt>
                <c:pt idx="1">
                  <c:v>71</c:v>
                </c:pt>
              </c:numCache>
            </c:numRef>
          </c:val>
          <c:extLst>
            <c:ext xmlns:c16="http://schemas.microsoft.com/office/drawing/2014/chart" uri="{C3380CC4-5D6E-409C-BE32-E72D297353CC}">
              <c16:uniqueId val="{00000004-27E0-4C33-8F2C-2BF67F6A922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baseline="0">
                <a:effectLst/>
              </a:rPr>
              <a:t>What is your overall impression of the Course Outlines?</a:t>
            </a:r>
            <a:endParaRPr lang="en-NZ"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F721-44DF-8C9B-6AC6F2BFD0E4}"/>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F721-44DF-8C9B-6AC6F2BFD0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23</c:v>
                </c:pt>
                <c:pt idx="1">
                  <c:v>77</c:v>
                </c:pt>
              </c:numCache>
            </c:numRef>
          </c:val>
          <c:extLst>
            <c:ext xmlns:c16="http://schemas.microsoft.com/office/drawing/2014/chart" uri="{C3380CC4-5D6E-409C-BE32-E72D297353CC}">
              <c16:uniqueId val="{00000004-F721-44DF-8C9B-6AC6F2BFD0E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7B7-420F-9627-230F8B5ED2B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7B7-420F-9627-230F8B5ED2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MM!$A$2:$A$3</c:f>
              <c:strCache>
                <c:ptCount val="2"/>
                <c:pt idx="0">
                  <c:v>On the right track</c:v>
                </c:pt>
                <c:pt idx="1">
                  <c:v>Needs amendments</c:v>
                </c:pt>
              </c:strCache>
            </c:strRef>
          </c:cat>
          <c:val>
            <c:numRef>
              <c:f>MM!$B$2:$B$3</c:f>
              <c:numCache>
                <c:formatCode>General</c:formatCode>
                <c:ptCount val="2"/>
                <c:pt idx="0">
                  <c:v>71</c:v>
                </c:pt>
                <c:pt idx="1">
                  <c:v>29</c:v>
                </c:pt>
              </c:numCache>
            </c:numRef>
          </c:val>
          <c:extLst>
            <c:ext xmlns:c16="http://schemas.microsoft.com/office/drawing/2014/chart" uri="{C3380CC4-5D6E-409C-BE32-E72D297353CC}">
              <c16:uniqueId val="{00000004-97B7-420F-9627-230F8B5ED2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AFA9-40F8-B101-4515E3E8AE0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AFA9-40F8-B101-4515E3E8AE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MM!$A$6:$A$7</c:f>
              <c:strCache>
                <c:ptCount val="2"/>
                <c:pt idx="0">
                  <c:v>On the right track</c:v>
                </c:pt>
                <c:pt idx="1">
                  <c:v>Needs amendments</c:v>
                </c:pt>
              </c:strCache>
            </c:strRef>
          </c:cat>
          <c:val>
            <c:numRef>
              <c:f>MM!$B$6:$B$7</c:f>
              <c:numCache>
                <c:formatCode>General</c:formatCode>
                <c:ptCount val="2"/>
                <c:pt idx="0">
                  <c:v>59</c:v>
                </c:pt>
                <c:pt idx="1">
                  <c:v>41</c:v>
                </c:pt>
              </c:numCache>
            </c:numRef>
          </c:val>
          <c:extLst>
            <c:ext xmlns:c16="http://schemas.microsoft.com/office/drawing/2014/chart" uri="{C3380CC4-5D6E-409C-BE32-E72D297353CC}">
              <c16:uniqueId val="{00000004-AFA9-40F8-B101-4515E3E8AE0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0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AB7-45B0-A1D4-BEA1AD6C1C72}"/>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AB7-45B0-A1D4-BEA1AD6C1C7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MM!$A$11:$A$12</c:f>
              <c:strCache>
                <c:ptCount val="2"/>
                <c:pt idx="0">
                  <c:v>On the right track</c:v>
                </c:pt>
                <c:pt idx="1">
                  <c:v>Needs amendments</c:v>
                </c:pt>
              </c:strCache>
            </c:strRef>
          </c:cat>
          <c:val>
            <c:numRef>
              <c:f>MM!$B$11:$B$12</c:f>
              <c:numCache>
                <c:formatCode>General</c:formatCode>
                <c:ptCount val="2"/>
                <c:pt idx="0">
                  <c:v>54</c:v>
                </c:pt>
                <c:pt idx="1">
                  <c:v>46</c:v>
                </c:pt>
              </c:numCache>
            </c:numRef>
          </c:val>
          <c:extLst>
            <c:ext xmlns:c16="http://schemas.microsoft.com/office/drawing/2014/chart" uri="{C3380CC4-5D6E-409C-BE32-E72D297353CC}">
              <c16:uniqueId val="{00000004-5AB7-45B0-A1D4-BEA1AD6C1C7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24</cp:revision>
  <dcterms:created xsi:type="dcterms:W3CDTF">2021-04-25T19:53:00Z</dcterms:created>
  <dcterms:modified xsi:type="dcterms:W3CDTF">2021-10-07T20:50:00Z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