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7FF1B090" w:rsidR="00C4186E" w:rsidRPr="00DB5F71" w:rsidRDefault="00D827AB" w:rsidP="00DB5F71">
      <w:pPr>
        <w:pStyle w:val="Heading1"/>
        <w:rPr>
          <w:b/>
          <w:bCs/>
          <w:w w:val="110"/>
        </w:rPr>
      </w:pPr>
      <w:r>
        <w:rPr>
          <w:b/>
          <w:bCs/>
          <w:w w:val="110"/>
        </w:rPr>
        <w:t>Food and Nutrition Level 2</w:t>
      </w:r>
      <w:r w:rsidR="0081124E" w:rsidRPr="00A86CE5">
        <w:rPr>
          <w:b/>
          <w:bCs/>
          <w:color w:val="auto"/>
          <w:w w:val="110"/>
        </w:rPr>
        <w:t xml:space="preserve"> </w:t>
      </w:r>
      <w:r w:rsidR="00A05D0B" w:rsidRPr="00DB5F71">
        <w:rPr>
          <w:b/>
          <w:bCs/>
          <w:w w:val="110"/>
        </w:rPr>
        <w:t xml:space="preserve">Course Outline </w:t>
      </w:r>
      <w:r>
        <w:rPr>
          <w:b/>
          <w:bCs/>
          <w:w w:val="110"/>
        </w:rPr>
        <w:t>2</w:t>
      </w:r>
    </w:p>
    <w:p w14:paraId="4D67465C" w14:textId="2F898DD6" w:rsidR="00DB5F71" w:rsidRDefault="00045D10" w:rsidP="00DB5F71">
      <w:pPr>
        <w:pStyle w:val="Heading1"/>
        <w:rPr>
          <w:rFonts w:eastAsia="Times New Roman"/>
          <w:sz w:val="26"/>
          <w:szCs w:val="26"/>
        </w:rPr>
      </w:pPr>
      <w:r w:rsidRPr="0078094C">
        <w:rPr>
          <w:rFonts w:eastAsia="Times New Roman"/>
          <w:sz w:val="26"/>
          <w:szCs w:val="26"/>
        </w:rPr>
        <w:t xml:space="preserve">Guide to aid teacher planning </w:t>
      </w:r>
      <w:r w:rsidR="00713CA8">
        <w:rPr>
          <w:rFonts w:eastAsia="Times New Roman"/>
          <w:sz w:val="26"/>
          <w:szCs w:val="26"/>
        </w:rPr>
        <w:t>-</w:t>
      </w:r>
      <w:r w:rsidR="00DB5F71">
        <w:rPr>
          <w:rFonts w:eastAsia="Times New Roman"/>
          <w:sz w:val="26"/>
          <w:szCs w:val="26"/>
        </w:rPr>
        <w:t xml:space="preserve"> </w:t>
      </w:r>
      <w:r w:rsidR="00DB5F71" w:rsidRPr="00DB5F71">
        <w:rPr>
          <w:rFonts w:eastAsia="Times New Roman"/>
          <w:sz w:val="26"/>
          <w:szCs w:val="26"/>
        </w:rPr>
        <w:t>designed to be printed or viewed in A3, Landscape</w:t>
      </w:r>
      <w:r w:rsidR="00DB5F71">
        <w:rPr>
          <w:rFonts w:eastAsia="Times New Roman"/>
          <w:sz w:val="26"/>
          <w:szCs w:val="26"/>
        </w:rPr>
        <w:t>.</w:t>
      </w:r>
      <w:r w:rsidR="00DB5F71" w:rsidRPr="00DB5F71">
        <w:rPr>
          <w:rFonts w:eastAsia="Times New Roman"/>
          <w:sz w:val="26"/>
          <w:szCs w:val="26"/>
        </w:rPr>
        <w:t xml:space="preserve"> </w:t>
      </w:r>
    </w:p>
    <w:p w14:paraId="4B130902" w14:textId="77777777" w:rsidR="002130B0" w:rsidRPr="002130B0" w:rsidRDefault="002130B0" w:rsidP="002130B0"/>
    <w:p w14:paraId="1E2607E8" w14:textId="7F063F4D" w:rsidR="00045D10" w:rsidRDefault="00045D10" w:rsidP="00045D10">
      <w:pPr>
        <w:pStyle w:val="Heading2"/>
        <w:rPr>
          <w:rFonts w:eastAsia="Times New Roman"/>
        </w:rPr>
      </w:pPr>
      <w:r>
        <w:rPr>
          <w:rFonts w:eastAsia="Times New Roman"/>
        </w:rPr>
        <w:t>Purpose</w:t>
      </w:r>
    </w:p>
    <w:p w14:paraId="7A68B649" w14:textId="21CEB2E0" w:rsidR="00045D10" w:rsidRDefault="00045D10" w:rsidP="002C1B6D">
      <w:r>
        <w:t xml:space="preserve">This </w:t>
      </w:r>
      <w:r w:rsidR="00272335">
        <w:t>sample</w:t>
      </w:r>
      <w:r>
        <w:t xml:space="preserve"> </w:t>
      </w:r>
      <w:r w:rsidR="0081124E">
        <w:t>C</w:t>
      </w:r>
      <w:r>
        <w:t xml:space="preserve">ourse </w:t>
      </w:r>
      <w:r w:rsidR="0081124E">
        <w:t>O</w:t>
      </w:r>
      <w:r>
        <w:t xml:space="preserve">utline has been produced to help teachers and schools understand </w:t>
      </w:r>
      <w:r w:rsidR="003F3048">
        <w:t xml:space="preserve">how the </w:t>
      </w:r>
      <w:r w:rsidR="009B17B8">
        <w:t>S</w:t>
      </w:r>
      <w:r w:rsidR="003F3048">
        <w:t xml:space="preserve">ignificant </w:t>
      </w:r>
      <w:r w:rsidR="009B17B8">
        <w:t>L</w:t>
      </w:r>
      <w:r w:rsidR="003F3048">
        <w:t xml:space="preserve">earning from the Learning Matrix and Achievement </w:t>
      </w:r>
      <w:r w:rsidR="00BA051F">
        <w:t>S</w:t>
      </w:r>
      <w:r w:rsidR="003F3048">
        <w:t>tandards can be structured within a year</w:t>
      </w:r>
      <w:r w:rsidR="00DA48D9">
        <w:t>-</w:t>
      </w:r>
      <w:r w:rsidR="003F3048">
        <w:t>long teaching and learning programme.</w:t>
      </w:r>
    </w:p>
    <w:p w14:paraId="58EB287C" w14:textId="1D59C8D7" w:rsidR="00DB5F71" w:rsidRPr="002C1B6D" w:rsidRDefault="00DB5F71" w:rsidP="002C1B6D"/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C54F6E" w:rsidRPr="00766259" w14:paraId="399C3F66" w14:textId="040448E4" w:rsidTr="6B620631">
        <w:trPr>
          <w:trHeight w:val="827"/>
        </w:trPr>
        <w:tc>
          <w:tcPr>
            <w:tcW w:w="4394" w:type="dxa"/>
            <w:shd w:val="clear" w:color="auto" w:fill="D9E2F3" w:themeFill="accent1" w:themeFillTint="33"/>
          </w:tcPr>
          <w:p w14:paraId="206FB893" w14:textId="4F388315" w:rsidR="00C54F6E" w:rsidRPr="0084258D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4258D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4738" w:type="dxa"/>
            <w:shd w:val="clear" w:color="auto" w:fill="D9E2F3" w:themeFill="accent1" w:themeFillTint="33"/>
          </w:tcPr>
          <w:p w14:paraId="27242208" w14:textId="77777777" w:rsidR="00C54F6E" w:rsidRPr="0084258D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4258D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2968EEC2" w14:textId="73258B54" w:rsidR="00C54F6E" w:rsidRPr="0084258D" w:rsidRDefault="00C54F6E" w:rsidP="006C29F4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7110489" w14:textId="77777777" w:rsidR="00C54F6E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22C1276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T</w:t>
            </w:r>
            <w:r w:rsidRPr="00766259"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otal of 32 weeks</w:t>
            </w: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C54F6E" w:rsidRPr="00766259" w14:paraId="7718A8D2" w14:textId="0F328DAC" w:rsidTr="6B620631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3E31E547" w14:textId="77777777" w:rsidR="0078032B" w:rsidRPr="004E3B74" w:rsidRDefault="0078032B" w:rsidP="004E3B74">
            <w:pPr>
              <w:shd w:val="clear" w:color="auto" w:fill="FFFFFF"/>
              <w:spacing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</w:p>
          <w:p w14:paraId="2A4C31E0" w14:textId="1CBEDADD" w:rsidR="008D6ED6" w:rsidRPr="004E3B74" w:rsidRDefault="008D6ED6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  <w:r w:rsidRPr="004E3B74">
              <w:rPr>
                <w:rStyle w:val="eop"/>
                <w:rFonts w:eastAsiaTheme="minorEastAsia" w:cstheme="minorHAnsi"/>
                <w:lang w:eastAsia="en-NZ"/>
              </w:rPr>
              <w:t xml:space="preserve">Examine the relationship between equity and food and nutrition in relation to accessing nutritious, </w:t>
            </w:r>
            <w:proofErr w:type="gramStart"/>
            <w:r w:rsidRPr="004E3B74">
              <w:rPr>
                <w:rStyle w:val="eop"/>
                <w:rFonts w:eastAsiaTheme="minorEastAsia" w:cstheme="minorHAnsi"/>
                <w:lang w:eastAsia="en-NZ"/>
              </w:rPr>
              <w:t>affordable</w:t>
            </w:r>
            <w:proofErr w:type="gramEnd"/>
            <w:r w:rsidRPr="004E3B74">
              <w:rPr>
                <w:rStyle w:val="eop"/>
                <w:rFonts w:eastAsiaTheme="minorEastAsia" w:cstheme="minorHAnsi"/>
                <w:lang w:eastAsia="en-NZ"/>
              </w:rPr>
              <w:t xml:space="preserve"> and culturally important foods</w:t>
            </w:r>
          </w:p>
          <w:p w14:paraId="67514014" w14:textId="77777777" w:rsidR="008D6ED6" w:rsidRPr="004E3B74" w:rsidRDefault="008D6ED6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</w:p>
          <w:p w14:paraId="4822276E" w14:textId="67ED9282" w:rsidR="008D6ED6" w:rsidRPr="004E3B74" w:rsidRDefault="008D6ED6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  <w:r w:rsidRPr="004E3B74">
              <w:rPr>
                <w:rStyle w:val="eop"/>
                <w:rFonts w:eastAsiaTheme="minorEastAsia" w:cstheme="minorHAnsi"/>
                <w:lang w:eastAsia="en-NZ"/>
              </w:rPr>
              <w:t xml:space="preserve">Explore the influencers of food choice and eating patterns </w:t>
            </w:r>
          </w:p>
          <w:p w14:paraId="259DEC46" w14:textId="77777777" w:rsidR="008D6ED6" w:rsidRPr="004E3B74" w:rsidRDefault="008D6ED6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</w:p>
          <w:p w14:paraId="614F849F" w14:textId="31C5FDEE" w:rsidR="008D6ED6" w:rsidRPr="004E3B74" w:rsidRDefault="008D6ED6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  <w:r w:rsidRPr="004E3B74">
              <w:rPr>
                <w:rStyle w:val="eop"/>
                <w:rFonts w:eastAsiaTheme="minorEastAsia" w:cstheme="minorHAnsi"/>
                <w:lang w:eastAsia="en-NZ"/>
              </w:rPr>
              <w:t xml:space="preserve">Explore how access to, and knowledge of food and nutrition can empower individuals and </w:t>
            </w:r>
            <w:proofErr w:type="spellStart"/>
            <w:r w:rsidRPr="004E3B74">
              <w:rPr>
                <w:rStyle w:val="eop"/>
                <w:rFonts w:eastAsiaTheme="minorEastAsia" w:cstheme="minorHAnsi"/>
                <w:lang w:eastAsia="en-NZ"/>
              </w:rPr>
              <w:t>whānau</w:t>
            </w:r>
            <w:proofErr w:type="spellEnd"/>
          </w:p>
          <w:p w14:paraId="11E47A34" w14:textId="77777777" w:rsidR="004E3B74" w:rsidRPr="004E3B74" w:rsidRDefault="004E3B74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</w:p>
          <w:p w14:paraId="29A0F61C" w14:textId="303DB0B7" w:rsidR="004E3B74" w:rsidRPr="004E3B74" w:rsidRDefault="004E3B74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  <w:r w:rsidRPr="004E3B74">
              <w:rPr>
                <w:rStyle w:val="eop"/>
                <w:rFonts w:eastAsiaTheme="minorEastAsia" w:cstheme="minorHAnsi"/>
                <w:lang w:eastAsia="en-NZ"/>
              </w:rPr>
              <w:t xml:space="preserve">Explore the effects of food and nutrition on health and wellbeing at an individual, interpersonal, and </w:t>
            </w:r>
            <w:proofErr w:type="spellStart"/>
            <w:r w:rsidRPr="004E3B74">
              <w:rPr>
                <w:rStyle w:val="eop"/>
                <w:rFonts w:eastAsiaTheme="minorEastAsia" w:cstheme="minorHAnsi"/>
                <w:lang w:eastAsia="en-NZ"/>
              </w:rPr>
              <w:t>whānau</w:t>
            </w:r>
            <w:proofErr w:type="spellEnd"/>
            <w:r w:rsidRPr="004E3B74">
              <w:rPr>
                <w:rStyle w:val="eop"/>
                <w:rFonts w:eastAsiaTheme="minorEastAsia" w:cstheme="minorHAnsi"/>
                <w:lang w:eastAsia="en-NZ"/>
              </w:rPr>
              <w:t xml:space="preserve"> level</w:t>
            </w:r>
          </w:p>
          <w:p w14:paraId="401A90C4" w14:textId="77777777" w:rsidR="004E3B74" w:rsidRPr="004E3B74" w:rsidRDefault="004E3B74" w:rsidP="004E3B74">
            <w:pPr>
              <w:pStyle w:val="ListParagraph"/>
              <w:shd w:val="clear" w:color="auto" w:fill="FFFFFF"/>
              <w:spacing w:after="100" w:afterAutospacing="1"/>
              <w:ind w:left="0"/>
              <w:rPr>
                <w:rStyle w:val="eop"/>
                <w:rFonts w:eastAsiaTheme="minorEastAsia" w:cstheme="minorHAnsi"/>
                <w:lang w:eastAsia="en-NZ"/>
              </w:rPr>
            </w:pPr>
          </w:p>
          <w:p w14:paraId="6B797486" w14:textId="722CDD47" w:rsidR="00E8703B" w:rsidRPr="004E3B74" w:rsidRDefault="00E8703B" w:rsidP="004E3B74">
            <w:pPr>
              <w:shd w:val="clear" w:color="auto" w:fill="FFFFFF"/>
              <w:spacing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</w:p>
        </w:tc>
        <w:tc>
          <w:tcPr>
            <w:tcW w:w="14738" w:type="dxa"/>
            <w:shd w:val="clear" w:color="auto" w:fill="auto"/>
          </w:tcPr>
          <w:p w14:paraId="28B909DC" w14:textId="053E9CBE" w:rsidR="00C54F6E" w:rsidRPr="00925C90" w:rsidRDefault="006A2163" w:rsidP="6C292056">
            <w:pPr>
              <w:pStyle w:val="Heading1"/>
              <w:outlineLvl w:val="0"/>
              <w:rPr>
                <w:rFonts w:asciiTheme="minorHAnsi" w:eastAsiaTheme="minorEastAsia" w:hAnsiTheme="minorHAnsi" w:cstheme="minorHAnsi"/>
              </w:rPr>
            </w:pPr>
            <w:r w:rsidRPr="00925C90">
              <w:rPr>
                <w:rFonts w:asciiTheme="minorHAnsi" w:eastAsiaTheme="minorEastAsia" w:hAnsiTheme="minorHAnsi" w:cstheme="minorHAnsi"/>
              </w:rPr>
              <w:t xml:space="preserve">Big Ideas </w:t>
            </w:r>
          </w:p>
          <w:p w14:paraId="4E0FC983" w14:textId="4EB29209" w:rsidR="006A2163" w:rsidRPr="005F366E" w:rsidRDefault="006A2163" w:rsidP="006A2163"/>
          <w:p w14:paraId="6EF42911" w14:textId="675ABDFB" w:rsidR="006A2163" w:rsidRPr="005F366E" w:rsidRDefault="006A2163" w:rsidP="6C292056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Big underpinning idea</w:t>
            </w:r>
            <w:r w:rsidR="00092B85"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- Attitudes</w:t>
            </w:r>
            <w:r w:rsidR="00092B85"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values</w:t>
            </w:r>
          </w:p>
          <w:p w14:paraId="4CCEC0C2" w14:textId="1A7C1F66" w:rsidR="6C292056" w:rsidRPr="005F366E" w:rsidRDefault="6C292056" w:rsidP="6C292056">
            <w:pPr>
              <w:pStyle w:val="paragraph"/>
              <w:spacing w:before="0" w:beforeAutospacing="0" w:after="0" w:afterAutospacing="0"/>
              <w:ind w:right="30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27D872A7" w14:textId="34253F8E" w:rsidR="006A2163" w:rsidRDefault="006A2163" w:rsidP="006A2163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Explore why we eat what we eat</w:t>
            </w:r>
            <w:r w:rsidR="00116034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r w:rsidRPr="005F366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40409BF" w14:textId="77777777" w:rsidR="00493BA7" w:rsidRPr="005F366E" w:rsidRDefault="00493BA7" w:rsidP="006A2163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35B345B6" w14:textId="2AE85326" w:rsidR="006A2163" w:rsidRPr="005F366E" w:rsidRDefault="00493BA7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t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 what degree are individuals and </w:t>
            </w:r>
            <w:proofErr w:type="spellStart"/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wh</w:t>
            </w:r>
            <w:r w:rsidR="000E5E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ā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nau</w:t>
            </w:r>
            <w:proofErr w:type="spellEnd"/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responsible for their food choices? Where does the power lie?</w:t>
            </w:r>
            <w:r w:rsidR="006A2163" w:rsidRPr="005F366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986372D" w14:textId="081ADDB2" w:rsidR="006A2163" w:rsidRPr="005F366E" w:rsidRDefault="00493BA7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h</w:t>
            </w:r>
            <w:r w:rsidR="006A2163"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ow do peoples’ 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</w:t>
            </w:r>
            <w:r w:rsidR="00191C4E"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ttitudes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values </w:t>
            </w:r>
            <w:r w:rsidR="006A2163"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influence food choices?</w:t>
            </w:r>
            <w:r w:rsidR="006A2163" w:rsidRPr="005F366E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6CFF8DF0" w14:textId="681F81E2" w:rsidR="006A2163" w:rsidRPr="005F366E" w:rsidRDefault="00493BA7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w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hat is the relationship between food choice and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hauora</w:t>
            </w:r>
            <w:proofErr w:type="spellEnd"/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?</w:t>
            </w:r>
            <w:r w:rsidR="006A2163" w:rsidRPr="005F366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F5332A" w14:textId="2F3251DC" w:rsidR="006A2163" w:rsidRPr="005F366E" w:rsidRDefault="00493BA7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u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nderstand how food environments influence food choice and health? (</w:t>
            </w:r>
            <w:r w:rsidR="00092B85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Socio-ecological perspective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  <w:r w:rsidR="006A2163" w:rsidRPr="005F366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B89937" w14:textId="66F6409E" w:rsidR="006A2163" w:rsidRPr="005F366E" w:rsidRDefault="00493BA7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re food choices—or a lack of food choices—a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n equity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concern? If so, how?</w:t>
            </w:r>
            <w:r w:rsidR="006A2163" w:rsidRPr="005F366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DAAD58" w14:textId="4D7241FB" w:rsidR="006A2163" w:rsidRPr="005F366E" w:rsidRDefault="00493BA7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ow can we know whether a food environment is healthy?</w:t>
            </w:r>
          </w:p>
          <w:p w14:paraId="1F38E50F" w14:textId="7C08EE51" w:rsidR="006A2163" w:rsidRPr="005F366E" w:rsidRDefault="00493BA7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6A2163"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ow can food environments be improved? </w:t>
            </w:r>
          </w:p>
          <w:p w14:paraId="64B82CFD" w14:textId="77777777" w:rsidR="006A2163" w:rsidRPr="005F366E" w:rsidRDefault="006A2163" w:rsidP="006A2163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F366E">
              <w:rPr>
                <w:rStyle w:val="eop"/>
                <w:rFonts w:ascii="Calibri" w:hAnsi="Calibri" w:cs="Calibri"/>
                <w:color w:val="231F20"/>
                <w:sz w:val="22"/>
                <w:szCs w:val="22"/>
              </w:rPr>
              <w:t> </w:t>
            </w:r>
          </w:p>
          <w:p w14:paraId="33994F3E" w14:textId="77F1CB8D" w:rsidR="006A2163" w:rsidRPr="00E8703B" w:rsidRDefault="006F29BC" w:rsidP="00493BA7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5F366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Activities </w:t>
            </w:r>
            <w:r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- Reflective journal, unpacking vocabulary, newspaper articles (to see </w:t>
            </w:r>
            <w:r w:rsidR="00493BA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there </w:t>
            </w:r>
            <w:r w:rsidRPr="005F36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is a trend, how </w:t>
            </w:r>
            <w:r w:rsidR="00092B85"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attitude</w:t>
            </w:r>
            <w:r w:rsidR="00493BA7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s and </w:t>
            </w:r>
            <w:r w:rsidR="00092B85" w:rsidRPr="005F366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values</w:t>
            </w:r>
            <w:r w:rsidR="00493BA7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F366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have changed), interviews, environment mapping</w:t>
            </w:r>
            <w:r w:rsidRPr="006F29B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.</w:t>
            </w:r>
          </w:p>
          <w:p w14:paraId="121ADF14" w14:textId="2BECC9AD" w:rsidR="00925C90" w:rsidRDefault="00925C90" w:rsidP="00493BA7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</w:p>
          <w:p w14:paraId="3601A94C" w14:textId="78C88BF7" w:rsidR="00925C90" w:rsidRDefault="00925C90" w:rsidP="00493BA7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</w:p>
          <w:p w14:paraId="40AE8E3F" w14:textId="77777777" w:rsidR="00925C90" w:rsidRPr="00493BA7" w:rsidRDefault="00925C90" w:rsidP="00493BA7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93E91F" w14:textId="77777777" w:rsidR="00925C90" w:rsidRDefault="00925C90" w:rsidP="00925C90">
            <w:pPr>
              <w:contextualSpacing/>
              <w:textAlignment w:val="baseline"/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</w:pPr>
            <w:r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 xml:space="preserve">Where can I take </w:t>
            </w:r>
            <w:r w:rsidRPr="001A09D7"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>Food and Nutrition</w:t>
            </w:r>
            <w:r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 xml:space="preserve">? </w:t>
            </w:r>
            <w:r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  <w:t xml:space="preserve"> </w:t>
            </w:r>
          </w:p>
          <w:p w14:paraId="5C6302C2" w14:textId="77777777" w:rsidR="00925C90" w:rsidRDefault="00925C90" w:rsidP="00925C90">
            <w:pPr>
              <w:contextualSpacing/>
              <w:textAlignment w:val="baseline"/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</w:pPr>
            <w:r w:rsidRPr="001A09D7">
              <w:rPr>
                <w:rStyle w:val="normaltextrun"/>
                <w:color w:val="29333D"/>
                <w:lang w:eastAsia="en-NZ"/>
              </w:rPr>
              <w:t xml:space="preserve">Food and Nutrition provides </w:t>
            </w:r>
            <w:r>
              <w:rPr>
                <w:rStyle w:val="normaltextrun"/>
                <w:color w:val="29333D"/>
                <w:lang w:eastAsia="en-NZ"/>
              </w:rPr>
              <w:t xml:space="preserve">skills </w:t>
            </w:r>
            <w:r w:rsidRPr="001A09D7">
              <w:rPr>
                <w:rStyle w:val="normaltextrun"/>
                <w:color w:val="29333D"/>
                <w:lang w:eastAsia="en-NZ"/>
              </w:rPr>
              <w:t>and knowledge that is far reaching, providing students with the ability to continue to use their knowledge and understanding beyond the classroom.</w:t>
            </w:r>
            <w:r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 xml:space="preserve"> </w:t>
            </w:r>
          </w:p>
          <w:p w14:paraId="5D6DA4AA" w14:textId="77777777" w:rsidR="00925C90" w:rsidRDefault="00925C90" w:rsidP="00925C90">
            <w:pPr>
              <w:contextualSpacing/>
              <w:textAlignment w:val="baseline"/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</w:pPr>
          </w:p>
          <w:p w14:paraId="525305F1" w14:textId="77777777" w:rsidR="00925C90" w:rsidRDefault="00925C90" w:rsidP="00925C9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>
              <w:rPr>
                <w:rStyle w:val="normaltextrun"/>
                <w:color w:val="29333D"/>
                <w:lang w:eastAsia="en-NZ"/>
              </w:rPr>
              <w:t xml:space="preserve">Research project: </w:t>
            </w:r>
          </w:p>
          <w:p w14:paraId="5617D5E0" w14:textId="77777777" w:rsidR="00925C90" w:rsidRPr="00AB10C1" w:rsidRDefault="00925C90" w:rsidP="00925C9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Students work collaboratively to develop a presentation (slideshow, video, poster etc) that indicates the wide range of pathways </w:t>
            </w:r>
            <w:r>
              <w:rPr>
                <w:rStyle w:val="normaltextrun"/>
                <w:color w:val="29333D"/>
                <w:lang w:eastAsia="en-NZ"/>
              </w:rPr>
              <w:t xml:space="preserve">available to </w:t>
            </w:r>
            <w:r w:rsidRPr="00AB10C1">
              <w:rPr>
                <w:rStyle w:val="normaltextrun"/>
                <w:color w:val="29333D"/>
                <w:lang w:eastAsia="en-NZ"/>
              </w:rPr>
              <w:t>students</w:t>
            </w:r>
            <w:r>
              <w:rPr>
                <w:rStyle w:val="normaltextrun"/>
                <w:color w:val="29333D"/>
                <w:lang w:eastAsia="en-NZ"/>
              </w:rPr>
              <w:t xml:space="preserve">. </w:t>
            </w:r>
          </w:p>
          <w:p w14:paraId="6B74DEB8" w14:textId="77777777" w:rsidR="00925C90" w:rsidRPr="00AB10C1" w:rsidRDefault="00925C90" w:rsidP="00925C9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</w:p>
          <w:p w14:paraId="7D912BB5" w14:textId="77777777" w:rsidR="00925C90" w:rsidRPr="00AB10C1" w:rsidRDefault="00925C90" w:rsidP="00925C9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Students choose to research and present information about such things as: </w:t>
            </w:r>
          </w:p>
          <w:p w14:paraId="4546AA20" w14:textId="77777777" w:rsidR="00925C90" w:rsidRPr="00AB10C1" w:rsidRDefault="00925C90" w:rsidP="00925C90">
            <w:pPr>
              <w:numPr>
                <w:ilvl w:val="0"/>
                <w:numId w:val="33"/>
              </w:num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how their learning will impact themselves, their </w:t>
            </w:r>
            <w:proofErr w:type="spellStart"/>
            <w:r w:rsidRPr="00AB10C1">
              <w:rPr>
                <w:rStyle w:val="normaltextrun"/>
                <w:color w:val="29333D"/>
                <w:lang w:eastAsia="en-NZ"/>
              </w:rPr>
              <w:t>whānau</w:t>
            </w:r>
            <w:proofErr w:type="spellEnd"/>
            <w:r w:rsidRPr="00AB10C1">
              <w:rPr>
                <w:rStyle w:val="normaltextrun"/>
                <w:color w:val="29333D"/>
                <w:lang w:eastAsia="en-NZ"/>
              </w:rPr>
              <w:t>, their community into the future</w:t>
            </w:r>
          </w:p>
          <w:p w14:paraId="42F972B4" w14:textId="74D88B81" w:rsidR="00925C90" w:rsidRDefault="00925C90" w:rsidP="00925C90">
            <w:pPr>
              <w:numPr>
                <w:ilvl w:val="0"/>
                <w:numId w:val="33"/>
              </w:num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>future studies in Food and Nutrition related subjects – on</w:t>
            </w:r>
            <w:r w:rsidR="0076776C">
              <w:rPr>
                <w:rStyle w:val="normaltextrun"/>
                <w:color w:val="29333D"/>
                <w:lang w:eastAsia="en-NZ"/>
              </w:rPr>
              <w:t>-</w:t>
            </w:r>
            <w:r w:rsidRPr="00AB10C1">
              <w:rPr>
                <w:rStyle w:val="normaltextrun"/>
                <w:color w:val="29333D"/>
                <w:lang w:eastAsia="en-NZ"/>
              </w:rPr>
              <w:t>the</w:t>
            </w:r>
            <w:r w:rsidR="0076776C">
              <w:rPr>
                <w:rStyle w:val="normaltextrun"/>
                <w:color w:val="29333D"/>
                <w:lang w:eastAsia="en-NZ"/>
              </w:rPr>
              <w:t>-</w:t>
            </w:r>
            <w:r w:rsidRPr="00AB10C1">
              <w:rPr>
                <w:rStyle w:val="normaltextrun"/>
                <w:color w:val="29333D"/>
                <w:lang w:eastAsia="en-NZ"/>
              </w:rPr>
              <w:t xml:space="preserve">job training, apprenticeships, and tertiary </w:t>
            </w:r>
          </w:p>
          <w:p w14:paraId="76B23E80" w14:textId="77777777" w:rsidR="00925C90" w:rsidRPr="002E2B88" w:rsidRDefault="00925C90" w:rsidP="00925C90">
            <w:pPr>
              <w:numPr>
                <w:ilvl w:val="0"/>
                <w:numId w:val="33"/>
              </w:numPr>
              <w:contextualSpacing/>
              <w:textAlignment w:val="baseline"/>
              <w:rPr>
                <w:rStyle w:val="normaltextrun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Food and </w:t>
            </w:r>
            <w:r>
              <w:rPr>
                <w:rStyle w:val="normaltextrun"/>
                <w:color w:val="29333D"/>
                <w:lang w:eastAsia="en-NZ"/>
              </w:rPr>
              <w:t>N</w:t>
            </w:r>
            <w:r w:rsidRPr="00AB10C1">
              <w:rPr>
                <w:rStyle w:val="normaltextrun"/>
                <w:color w:val="29333D"/>
                <w:lang w:eastAsia="en-NZ"/>
              </w:rPr>
              <w:t xml:space="preserve">utrition related </w:t>
            </w:r>
            <w:r>
              <w:rPr>
                <w:rStyle w:val="normaltextrun"/>
                <w:color w:val="29333D"/>
                <w:lang w:eastAsia="en-NZ"/>
              </w:rPr>
              <w:t xml:space="preserve">jobs and </w:t>
            </w:r>
            <w:r w:rsidRPr="00AB10C1">
              <w:rPr>
                <w:rStyle w:val="normaltextrun"/>
                <w:color w:val="29333D"/>
                <w:lang w:eastAsia="en-NZ"/>
              </w:rPr>
              <w:t>careers</w:t>
            </w:r>
            <w:r>
              <w:rPr>
                <w:rStyle w:val="normaltextrun"/>
                <w:color w:val="29333D"/>
                <w:lang w:eastAsia="en-NZ"/>
              </w:rPr>
              <w:t xml:space="preserve"> </w:t>
            </w:r>
          </w:p>
          <w:p w14:paraId="2F14AFE9" w14:textId="77777777" w:rsidR="00925C90" w:rsidRPr="00AB10C1" w:rsidRDefault="00925C90" w:rsidP="00925C90">
            <w:pPr>
              <w:numPr>
                <w:ilvl w:val="0"/>
                <w:numId w:val="33"/>
              </w:numPr>
              <w:contextualSpacing/>
              <w:textAlignment w:val="baseline"/>
              <w:rPr>
                <w:rStyle w:val="normaltextrun"/>
                <w:lang w:eastAsia="en-NZ"/>
              </w:rPr>
            </w:pPr>
            <w:r>
              <w:rPr>
                <w:rStyle w:val="normaltextrun"/>
                <w:color w:val="29333D"/>
                <w:lang w:eastAsia="en-NZ"/>
              </w:rPr>
              <w:t xml:space="preserve">other pathways </w:t>
            </w:r>
          </w:p>
          <w:p w14:paraId="75090BDA" w14:textId="47AD376A" w:rsidR="006A2163" w:rsidRPr="006A2163" w:rsidRDefault="00925C90" w:rsidP="00925C90">
            <w:r>
              <w:rPr>
                <w:rStyle w:val="normaltextrun"/>
                <w:color w:val="29333D"/>
                <w:lang w:eastAsia="en-NZ"/>
              </w:rPr>
              <w:t>o</w:t>
            </w:r>
            <w:r w:rsidRPr="00AB10C1">
              <w:rPr>
                <w:rStyle w:val="normaltextrun"/>
                <w:color w:val="29333D"/>
                <w:lang w:eastAsia="en-NZ"/>
              </w:rPr>
              <w:t>r a combination of</w:t>
            </w:r>
            <w:r>
              <w:rPr>
                <w:rStyle w:val="normaltextrun"/>
                <w:color w:val="29333D"/>
                <w:lang w:eastAsia="en-NZ"/>
              </w:rPr>
              <w:t xml:space="preserve"> any of the above.  </w:t>
            </w:r>
          </w:p>
        </w:tc>
        <w:tc>
          <w:tcPr>
            <w:tcW w:w="1984" w:type="dxa"/>
          </w:tcPr>
          <w:p w14:paraId="5A5AD9CB" w14:textId="77777777" w:rsidR="00C54F6E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6</w:t>
            </w:r>
            <w:r w:rsidR="006A2163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weeks </w:t>
            </w:r>
          </w:p>
          <w:p w14:paraId="511B78BB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B04190D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E6FB3F1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BC3048D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B1655ED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5CBEF81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D436547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07E2AA8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05CE66C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EF24B95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ECAFFBA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20E4DCB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F6A3483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1BFEC84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B85DABC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9CF6471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5AEE0D4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D95D170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B66F331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BC1D08A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D5DF43A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441AC62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E743A97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8D89EBB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E86642F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F300AFA" w14:textId="77777777" w:rsidR="00925C90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171BAFB" w14:textId="24BE2F79" w:rsidR="00925C90" w:rsidRPr="00766259" w:rsidRDefault="00925C9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C54F6E" w:rsidRPr="00766259" w14:paraId="4D5F3ED2" w14:textId="231EEB34" w:rsidTr="6B620631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45D4EEDF" w14:textId="77777777" w:rsidR="0078032B" w:rsidRDefault="0078032B" w:rsidP="002130B0">
            <w:pPr>
              <w:spacing w:line="360" w:lineRule="auto"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702986AC" w14:textId="371BB08C" w:rsidR="001532CA" w:rsidRDefault="00F97A34" w:rsidP="001532CA">
            <w:pPr>
              <w:shd w:val="clear" w:color="auto" w:fill="FFFFFF"/>
              <w:spacing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U</w:t>
            </w:r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>nderstand the relationship between food literacy and health and wellbeing</w:t>
            </w:r>
          </w:p>
          <w:p w14:paraId="04206B1A" w14:textId="30A431C2" w:rsidR="001532CA" w:rsidRDefault="00F40B70" w:rsidP="001532CA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A</w:t>
            </w:r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>pply an evidence-based approach towards food information and practices</w:t>
            </w:r>
          </w:p>
          <w:p w14:paraId="6AB9663C" w14:textId="46C12623" w:rsidR="001532CA" w:rsidRDefault="00F40B70" w:rsidP="001532CA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D</w:t>
            </w:r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>evelop a positive and health-enhancing approach towards food</w:t>
            </w:r>
          </w:p>
          <w:p w14:paraId="659408ED" w14:textId="447CDD97" w:rsidR="001532CA" w:rsidRDefault="00F40B70" w:rsidP="001532CA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I</w:t>
            </w:r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>ntegrat</w:t>
            </w:r>
            <w:r w:rsidR="006D637B">
              <w:rPr>
                <w:rStyle w:val="eop"/>
                <w:rFonts w:eastAsiaTheme="minorEastAsia" w:cstheme="minorHAnsi"/>
                <w:lang w:eastAsia="en-NZ"/>
              </w:rPr>
              <w:t>e</w:t>
            </w:r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 xml:space="preserve"> nutritional knowledge with food preparation skills by participating in food-related activities</w:t>
            </w:r>
          </w:p>
          <w:p w14:paraId="0562E052" w14:textId="1D0B2BF4" w:rsidR="008048C9" w:rsidRDefault="00F40B70" w:rsidP="008048C9">
            <w:pPr>
              <w:shd w:val="clear" w:color="auto" w:fill="FFFFFF"/>
              <w:spacing w:before="100" w:before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E</w:t>
            </w:r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>xplor</w:t>
            </w:r>
            <w:r w:rsidR="00D129FE">
              <w:rPr>
                <w:rStyle w:val="eop"/>
                <w:rFonts w:eastAsiaTheme="minorEastAsia" w:cstheme="minorHAnsi"/>
                <w:lang w:eastAsia="en-NZ"/>
              </w:rPr>
              <w:t>e</w:t>
            </w:r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 xml:space="preserve"> the effects of food and nutrition on health and wellbeing at an individual, interpersonal, and </w:t>
            </w:r>
            <w:proofErr w:type="spellStart"/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>whānau</w:t>
            </w:r>
            <w:proofErr w:type="spellEnd"/>
            <w:r w:rsidR="001532CA" w:rsidRPr="009526FE">
              <w:rPr>
                <w:rStyle w:val="eop"/>
                <w:rFonts w:eastAsiaTheme="minorEastAsia" w:cstheme="minorHAnsi"/>
                <w:lang w:eastAsia="en-NZ"/>
              </w:rPr>
              <w:t xml:space="preserve"> level</w:t>
            </w:r>
          </w:p>
          <w:p w14:paraId="7D8C16D2" w14:textId="21B64BEB" w:rsidR="001532CA" w:rsidRPr="00604BCA" w:rsidRDefault="00F40B70" w:rsidP="008048C9">
            <w:pPr>
              <w:shd w:val="clear" w:color="auto" w:fill="FFFFFF"/>
              <w:spacing w:before="100" w:before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I</w:t>
            </w:r>
            <w:r w:rsidR="001532CA" w:rsidRPr="00604BCA">
              <w:rPr>
                <w:rStyle w:val="eop"/>
                <w:rFonts w:eastAsiaTheme="minorEastAsia" w:cstheme="minorHAnsi"/>
                <w:lang w:eastAsia="en-NZ"/>
              </w:rPr>
              <w:t>ntegrate nutritional knowledge with food preparation skills by participating in food-related activities</w:t>
            </w:r>
          </w:p>
          <w:p w14:paraId="36769056" w14:textId="77777777" w:rsidR="001532CA" w:rsidRPr="009526FE" w:rsidRDefault="001532CA" w:rsidP="001532CA">
            <w:pPr>
              <w:shd w:val="clear" w:color="auto" w:fill="FFFFFF"/>
              <w:spacing w:before="100" w:beforeAutospacing="1"/>
              <w:rPr>
                <w:rStyle w:val="eop"/>
                <w:rFonts w:eastAsiaTheme="minorEastAsia" w:cstheme="minorHAnsi"/>
                <w:lang w:eastAsia="en-NZ"/>
              </w:rPr>
            </w:pPr>
          </w:p>
          <w:p w14:paraId="13D31F58" w14:textId="01456DB4" w:rsidR="001532CA" w:rsidRPr="006D2A2F" w:rsidRDefault="001532CA" w:rsidP="002130B0">
            <w:pPr>
              <w:spacing w:line="360" w:lineRule="auto"/>
              <w:rPr>
                <w:rFonts w:eastAsiaTheme="minorEastAsia" w:cstheme="minorHAnsi"/>
                <w:color w:val="231F20"/>
                <w:lang w:eastAsia="en-NZ"/>
              </w:rPr>
            </w:pPr>
          </w:p>
        </w:tc>
        <w:tc>
          <w:tcPr>
            <w:tcW w:w="14738" w:type="dxa"/>
            <w:shd w:val="clear" w:color="auto" w:fill="auto"/>
          </w:tcPr>
          <w:p w14:paraId="0F989990" w14:textId="6F175A70" w:rsidR="006A2163" w:rsidRDefault="00044017" w:rsidP="00F52E79">
            <w:pPr>
              <w:pStyle w:val="Heading1"/>
              <w:outlineLvl w:val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Kai and Culture Connect </w:t>
            </w:r>
          </w:p>
          <w:p w14:paraId="2A45EB0B" w14:textId="77777777" w:rsidR="00580635" w:rsidRPr="00580635" w:rsidRDefault="00580635" w:rsidP="00580635"/>
          <w:p w14:paraId="2CC35186" w14:textId="2B35ADCF" w:rsidR="006D2A2F" w:rsidRPr="00916719" w:rsidRDefault="006D2A2F" w:rsidP="006D2A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We all need nutrients, but the way people nourish their bodies can be very different.   </w:t>
            </w:r>
          </w:p>
          <w:p w14:paraId="5FFEC8EB" w14:textId="77777777" w:rsidR="00FC2A5E" w:rsidRDefault="00FC2A5E" w:rsidP="6C2920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</w:p>
          <w:p w14:paraId="7D6B78B0" w14:textId="67B2FE6F" w:rsidR="006A2163" w:rsidRPr="00916719" w:rsidRDefault="006A2163" w:rsidP="6C2920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Explore why we eat what we eat</w:t>
            </w:r>
            <w:r w:rsidR="00F52E7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in relation to equity and </w:t>
            </w:r>
            <w:r w:rsidR="006D2A2F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the food environment</w:t>
            </w:r>
            <w:r w:rsidR="00826CC0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2641DBDB" w14:textId="77777777" w:rsidR="000C34F1" w:rsidRPr="00916719" w:rsidRDefault="000C34F1" w:rsidP="6C2920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</w:p>
          <w:p w14:paraId="49D0701B" w14:textId="0237F395" w:rsidR="006D2A2F" w:rsidRPr="00916719" w:rsidRDefault="00826CC0" w:rsidP="006D2A2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  <w:lang w:eastAsia="en-NZ"/>
              </w:rPr>
              <w:t>D</w:t>
            </w:r>
            <w:r w:rsidR="006D2A2F" w:rsidRPr="00916719">
              <w:rPr>
                <w:rFonts w:eastAsiaTheme="minorEastAsia" w:cstheme="minorHAnsi"/>
                <w:color w:val="231F20"/>
                <w:lang w:eastAsia="en-NZ"/>
              </w:rPr>
              <w:t xml:space="preserve">evelop an understanding of the social determinants of health and the role they play in health outcomes for individuals and </w:t>
            </w:r>
            <w:r>
              <w:rPr>
                <w:rFonts w:eastAsiaTheme="minorEastAsia" w:cstheme="minorHAnsi"/>
                <w:color w:val="231F20"/>
                <w:lang w:eastAsia="en-NZ"/>
              </w:rPr>
              <w:t>whanau.</w:t>
            </w:r>
          </w:p>
          <w:p w14:paraId="1383AFDF" w14:textId="0330E281" w:rsidR="006D2A2F" w:rsidRPr="00916719" w:rsidRDefault="00826CC0" w:rsidP="006D2A2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</w:rPr>
              <w:t>W</w:t>
            </w:r>
            <w:r w:rsidR="006A2163" w:rsidRPr="00916719">
              <w:rPr>
                <w:rFonts w:eastAsiaTheme="minorEastAsia" w:cstheme="minorHAnsi"/>
                <w:color w:val="231F20"/>
              </w:rPr>
              <w:t xml:space="preserve">hy does food matter? Explore the relationship between food and the concepts of </w:t>
            </w:r>
            <w:proofErr w:type="spellStart"/>
            <w:r w:rsidR="006A2163" w:rsidRPr="00916719">
              <w:rPr>
                <w:rFonts w:eastAsiaTheme="minorEastAsia" w:cstheme="minorHAnsi"/>
                <w:color w:val="231F20"/>
              </w:rPr>
              <w:t>manaakitanga</w:t>
            </w:r>
            <w:proofErr w:type="spellEnd"/>
            <w:r w:rsidR="006A2163" w:rsidRPr="00916719">
              <w:rPr>
                <w:rFonts w:eastAsiaTheme="minorEastAsia" w:cstheme="minorHAnsi"/>
                <w:color w:val="231F20"/>
              </w:rPr>
              <w:t xml:space="preserve"> and whanaungatanga</w:t>
            </w:r>
            <w:r w:rsidR="00E22727" w:rsidRPr="00916719">
              <w:rPr>
                <w:rFonts w:eastAsiaTheme="minorEastAsia" w:cstheme="minorHAnsi"/>
                <w:color w:val="231F20"/>
              </w:rPr>
              <w:t>.</w:t>
            </w:r>
          </w:p>
          <w:p w14:paraId="5CE4659A" w14:textId="6D42141D" w:rsidR="006D2A2F" w:rsidRPr="00916719" w:rsidRDefault="00826CC0" w:rsidP="006D2A2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</w:rPr>
              <w:t>W</w:t>
            </w:r>
            <w:r w:rsidR="006A2163" w:rsidRPr="00916719">
              <w:rPr>
                <w:rFonts w:eastAsiaTheme="minorEastAsia" w:cstheme="minorHAnsi"/>
                <w:color w:val="231F20"/>
              </w:rPr>
              <w:t>hy do people have such different attitudes, values</w:t>
            </w:r>
            <w:r w:rsidR="009629E0" w:rsidRPr="00916719">
              <w:rPr>
                <w:rFonts w:eastAsiaTheme="minorEastAsia" w:cstheme="minorHAnsi"/>
                <w:color w:val="231F20"/>
              </w:rPr>
              <w:t>,</w:t>
            </w:r>
            <w:r w:rsidR="006A2163" w:rsidRPr="00916719">
              <w:rPr>
                <w:rFonts w:eastAsiaTheme="minorEastAsia" w:cstheme="minorHAnsi"/>
                <w:color w:val="231F20"/>
              </w:rPr>
              <w:t xml:space="preserve"> and practices for food? </w:t>
            </w:r>
          </w:p>
          <w:p w14:paraId="29D56A88" w14:textId="6A1677A0" w:rsidR="00916719" w:rsidRPr="00916719" w:rsidRDefault="00826CC0" w:rsidP="006D2A2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</w:rPr>
              <w:t>T</w:t>
            </w:r>
            <w:r w:rsidR="00BC7ED4">
              <w:rPr>
                <w:rFonts w:eastAsiaTheme="minorEastAsia" w:cstheme="minorHAnsi"/>
                <w:color w:val="231F20"/>
              </w:rPr>
              <w:t xml:space="preserve">hink about </w:t>
            </w:r>
            <w:r w:rsidR="008638F0">
              <w:rPr>
                <w:rFonts w:eastAsiaTheme="minorEastAsia" w:cstheme="minorHAnsi"/>
                <w:color w:val="231F20"/>
              </w:rPr>
              <w:t xml:space="preserve">the </w:t>
            </w:r>
            <w:r w:rsidR="00051B95">
              <w:rPr>
                <w:rFonts w:eastAsiaTheme="minorEastAsia" w:cstheme="minorHAnsi"/>
                <w:color w:val="231F20"/>
              </w:rPr>
              <w:t xml:space="preserve">food </w:t>
            </w:r>
            <w:r w:rsidR="0030104A">
              <w:rPr>
                <w:rFonts w:eastAsiaTheme="minorEastAsia" w:cstheme="minorHAnsi"/>
                <w:color w:val="231F20"/>
              </w:rPr>
              <w:t xml:space="preserve">availability and social </w:t>
            </w:r>
            <w:r w:rsidR="00051B95">
              <w:rPr>
                <w:rFonts w:eastAsiaTheme="minorEastAsia" w:cstheme="minorHAnsi"/>
                <w:color w:val="231F20"/>
              </w:rPr>
              <w:t xml:space="preserve">environments </w:t>
            </w:r>
            <w:r w:rsidR="0003473A">
              <w:rPr>
                <w:rFonts w:eastAsiaTheme="minorEastAsia" w:cstheme="minorHAnsi"/>
                <w:color w:val="231F20"/>
              </w:rPr>
              <w:t>for</w:t>
            </w:r>
            <w:r w:rsidR="0030104A">
              <w:rPr>
                <w:rFonts w:eastAsiaTheme="minorEastAsia" w:cstheme="minorHAnsi"/>
                <w:color w:val="231F20"/>
              </w:rPr>
              <w:t xml:space="preserve"> </w:t>
            </w:r>
            <w:r w:rsidR="00051B95">
              <w:rPr>
                <w:rFonts w:eastAsiaTheme="minorEastAsia" w:cstheme="minorHAnsi"/>
                <w:color w:val="231F20"/>
              </w:rPr>
              <w:t xml:space="preserve">different groups of people. </w:t>
            </w:r>
            <w:r w:rsidR="00021F81">
              <w:rPr>
                <w:rFonts w:eastAsiaTheme="minorEastAsia" w:cstheme="minorHAnsi"/>
                <w:color w:val="231F20"/>
              </w:rPr>
              <w:t>For instance,</w:t>
            </w:r>
            <w:r w:rsidR="00051B95">
              <w:rPr>
                <w:rFonts w:eastAsiaTheme="minorEastAsia" w:cstheme="minorHAnsi"/>
                <w:color w:val="231F20"/>
              </w:rPr>
              <w:t xml:space="preserve"> </w:t>
            </w:r>
            <w:r w:rsidR="0003473A">
              <w:rPr>
                <w:rFonts w:eastAsiaTheme="minorEastAsia" w:cstheme="minorHAnsi"/>
                <w:color w:val="231F20"/>
              </w:rPr>
              <w:t xml:space="preserve">how do differences in food access and social environment </w:t>
            </w:r>
            <w:r w:rsidR="00217B70">
              <w:rPr>
                <w:rFonts w:eastAsiaTheme="minorEastAsia" w:cstheme="minorHAnsi"/>
                <w:color w:val="231F20"/>
              </w:rPr>
              <w:t>influence</w:t>
            </w:r>
            <w:r w:rsidR="008F6BA5">
              <w:rPr>
                <w:rFonts w:eastAsiaTheme="minorEastAsia" w:cstheme="minorHAnsi"/>
                <w:color w:val="231F20"/>
              </w:rPr>
              <w:t xml:space="preserve"> </w:t>
            </w:r>
            <w:r w:rsidR="000A58AE">
              <w:rPr>
                <w:rFonts w:eastAsiaTheme="minorEastAsia" w:cstheme="minorHAnsi"/>
                <w:color w:val="231F20"/>
              </w:rPr>
              <w:t xml:space="preserve">the food choices and nutrient intake of </w:t>
            </w:r>
            <w:r w:rsidR="0030104A">
              <w:rPr>
                <w:rFonts w:eastAsiaTheme="minorEastAsia" w:cstheme="minorHAnsi"/>
                <w:color w:val="231F20"/>
              </w:rPr>
              <w:t xml:space="preserve">an </w:t>
            </w:r>
            <w:r w:rsidR="008F6BA5">
              <w:rPr>
                <w:rFonts w:eastAsiaTheme="minorEastAsia" w:cstheme="minorHAnsi"/>
                <w:color w:val="231F20"/>
              </w:rPr>
              <w:t xml:space="preserve">urban </w:t>
            </w:r>
            <w:r w:rsidR="00916719" w:rsidRPr="00916719">
              <w:rPr>
                <w:rFonts w:eastAsiaTheme="minorEastAsia" w:cstheme="minorHAnsi"/>
                <w:color w:val="231F20"/>
              </w:rPr>
              <w:t xml:space="preserve">Māori </w:t>
            </w:r>
            <w:r w:rsidR="008F6BA5">
              <w:rPr>
                <w:rFonts w:eastAsiaTheme="minorEastAsia" w:cstheme="minorHAnsi"/>
                <w:color w:val="231F20"/>
              </w:rPr>
              <w:t>community</w:t>
            </w:r>
            <w:r w:rsidR="00AB65A3">
              <w:rPr>
                <w:rFonts w:eastAsiaTheme="minorEastAsia" w:cstheme="minorHAnsi"/>
                <w:color w:val="231F20"/>
              </w:rPr>
              <w:t>,</w:t>
            </w:r>
            <w:r w:rsidR="008F6BA5">
              <w:rPr>
                <w:rFonts w:eastAsiaTheme="minorEastAsia" w:cstheme="minorHAnsi"/>
                <w:color w:val="231F20"/>
              </w:rPr>
              <w:t xml:space="preserve"> </w:t>
            </w:r>
            <w:r w:rsidR="008F1A2B">
              <w:rPr>
                <w:rFonts w:eastAsiaTheme="minorEastAsia" w:cstheme="minorHAnsi"/>
                <w:color w:val="231F20"/>
              </w:rPr>
              <w:t xml:space="preserve">and </w:t>
            </w:r>
            <w:r w:rsidR="0030104A">
              <w:rPr>
                <w:rFonts w:eastAsiaTheme="minorEastAsia" w:cstheme="minorHAnsi"/>
                <w:color w:val="231F20"/>
              </w:rPr>
              <w:t xml:space="preserve">a </w:t>
            </w:r>
            <w:r w:rsidR="00916719" w:rsidRPr="00916719">
              <w:rPr>
                <w:rFonts w:eastAsiaTheme="minorEastAsia" w:cstheme="minorHAnsi"/>
                <w:color w:val="231F20"/>
              </w:rPr>
              <w:t>rural Māori</w:t>
            </w:r>
            <w:r w:rsidR="008F1A2B">
              <w:rPr>
                <w:rFonts w:eastAsiaTheme="minorEastAsia" w:cstheme="minorHAnsi"/>
                <w:color w:val="231F20"/>
              </w:rPr>
              <w:t xml:space="preserve"> community</w:t>
            </w:r>
            <w:r w:rsidR="0030104A">
              <w:rPr>
                <w:rFonts w:eastAsiaTheme="minorEastAsia" w:cstheme="minorHAnsi"/>
                <w:color w:val="231F20"/>
              </w:rPr>
              <w:t>?</w:t>
            </w:r>
            <w:r w:rsidR="008F1A2B">
              <w:rPr>
                <w:rFonts w:eastAsiaTheme="minorEastAsia" w:cstheme="minorHAnsi"/>
                <w:color w:val="231F20"/>
              </w:rPr>
              <w:t xml:space="preserve"> </w:t>
            </w:r>
          </w:p>
          <w:p w14:paraId="30F69E2F" w14:textId="001F3B55" w:rsidR="006D2A2F" w:rsidRPr="00916719" w:rsidRDefault="006D2A2F" w:rsidP="006D2A2F">
            <w:pPr>
              <w:pStyle w:val="ListParagraph"/>
              <w:textAlignment w:val="baseline"/>
              <w:rPr>
                <w:rFonts w:eastAsiaTheme="minorEastAsia" w:cstheme="minorHAnsi"/>
                <w:color w:val="231F20"/>
              </w:rPr>
            </w:pPr>
          </w:p>
          <w:p w14:paraId="28E92131" w14:textId="77777777" w:rsidR="000C34F1" w:rsidRPr="00916719" w:rsidRDefault="000C34F1" w:rsidP="000C34F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 w:rsidRPr="00916719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Students develop questions (student agency) to investigate this topic, such as: </w:t>
            </w:r>
          </w:p>
          <w:p w14:paraId="3805A0BB" w14:textId="4812DF8F" w:rsidR="006A2163" w:rsidRPr="00916719" w:rsidRDefault="000C34F1" w:rsidP="000C34F1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f</w:t>
            </w:r>
            <w:r w:rsidR="006A2163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rom a personal, interpersonal</w:t>
            </w:r>
            <w:r w:rsidR="009629E0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,</w:t>
            </w:r>
            <w:r w:rsidR="006A2163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and societal perspective</w:t>
            </w:r>
            <w:r w:rsidR="001A099A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,</w:t>
            </w:r>
            <w:r w:rsidR="006A2163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what are the key factors that contribute to </w:t>
            </w:r>
            <w:r w:rsidR="006D2A2F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Māori 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cultural</w:t>
            </w:r>
            <w:r w:rsidR="006D2A2F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F52E7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food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choices </w:t>
            </w:r>
            <w:r w:rsidR="00F52E7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within a</w:t>
            </w:r>
            <w:r w:rsidR="006D2A2F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n identified</w:t>
            </w:r>
            <w:r w:rsidR="00F52E7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food environment</w:t>
            </w:r>
            <w:r w:rsidR="001A099A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?</w:t>
            </w:r>
          </w:p>
          <w:p w14:paraId="2F3CE6BF" w14:textId="29FD892D" w:rsidR="006D2A2F" w:rsidRPr="00916719" w:rsidRDefault="002A0BCB" w:rsidP="006D2A2F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what equity issues can </w:t>
            </w:r>
            <w:r w:rsidR="004C775D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make it challenging for </w:t>
            </w:r>
            <w:r w:rsidR="004A08AC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Mā</w:t>
            </w:r>
            <w:r w:rsidR="004C775D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ori t</w:t>
            </w:r>
            <w:r w:rsidR="004A08AC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o</w:t>
            </w:r>
            <w:r w:rsidR="004C775D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F52E7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access</w:t>
            </w:r>
            <w:r w:rsidR="004C775D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AD7575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culturally important food </w:t>
            </w:r>
            <w:r w:rsidR="00ED77EE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within an identified food environment</w:t>
            </w:r>
            <w:r w:rsidR="006A2163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?   </w:t>
            </w:r>
          </w:p>
          <w:p w14:paraId="782E17F9" w14:textId="1F1DA5FD" w:rsidR="006D2A2F" w:rsidRPr="00916719" w:rsidRDefault="000C34F1" w:rsidP="000C34F1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what key factors impact the access and consumption of Māori 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cultural 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foods? </w:t>
            </w:r>
          </w:p>
          <w:p w14:paraId="7766EA7B" w14:textId="572F70EB" w:rsidR="000C34F1" w:rsidRPr="00916719" w:rsidRDefault="000C34F1" w:rsidP="000C34F1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how are these key factors interconnected?</w:t>
            </w:r>
          </w:p>
          <w:p w14:paraId="527A2AF0" w14:textId="4A7FECAA" w:rsidR="000C34F1" w:rsidRPr="00916719" w:rsidRDefault="000C34F1" w:rsidP="000C34F1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is the access to Māori cultural foods based on societal inequities?</w:t>
            </w:r>
          </w:p>
          <w:p w14:paraId="1B7061D0" w14:textId="603DEB31" w:rsidR="000C34F1" w:rsidRPr="00916719" w:rsidRDefault="000C34F1" w:rsidP="000C34F1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are the key factors and equit</w:t>
            </w:r>
            <w:r w:rsidR="00165587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y issues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interconnected?</w:t>
            </w:r>
          </w:p>
          <w:p w14:paraId="63FAD403" w14:textId="2668AEF8" w:rsidR="000C34F1" w:rsidRPr="00916719" w:rsidRDefault="000C34F1" w:rsidP="000C34F1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how could inequities be addressed? </w:t>
            </w:r>
          </w:p>
          <w:p w14:paraId="0B499BE5" w14:textId="77777777" w:rsidR="006A2163" w:rsidRPr="00916719" w:rsidRDefault="006A2163" w:rsidP="006A21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  </w:t>
            </w:r>
          </w:p>
          <w:p w14:paraId="21EE4668" w14:textId="14506868" w:rsidR="006A2163" w:rsidRPr="00916719" w:rsidRDefault="006A2163" w:rsidP="006A21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Activities</w:t>
            </w:r>
            <w:r w:rsidR="001F1CA5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: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   </w:t>
            </w:r>
          </w:p>
          <w:p w14:paraId="36B3B1F2" w14:textId="3664FAB8" w:rsidR="000C34F1" w:rsidRPr="00916719" w:rsidRDefault="000C34F1" w:rsidP="000C34F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sz w:val="22"/>
                <w:szCs w:val="22"/>
              </w:rPr>
              <w:t>n</w:t>
            </w:r>
            <w:r w:rsidR="006A2163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utrient activities </w:t>
            </w:r>
          </w:p>
          <w:p w14:paraId="73657086" w14:textId="752FEEDA" w:rsidR="000C34F1" w:rsidRPr="00916719" w:rsidRDefault="006F29BC" w:rsidP="000C34F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i</w:t>
            </w:r>
            <w:r w:rsidR="006A2163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nterview</w:t>
            </w:r>
            <w:r w:rsidR="000C34F1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s</w:t>
            </w:r>
            <w:r w:rsidR="006A2163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  <w:p w14:paraId="698C115E" w14:textId="3D8342AD" w:rsidR="000C34F1" w:rsidRPr="00916719" w:rsidRDefault="006A2163" w:rsidP="000C34F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practical experiences to further develop understanding of the connection between Food and Nutritional Guidelines and other accepted models </w:t>
            </w:r>
          </w:p>
          <w:p w14:paraId="4D0FCFAF" w14:textId="159AAA83" w:rsidR="006A2163" w:rsidRPr="00916719" w:rsidRDefault="006A2163" w:rsidP="000C34F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micro</w:t>
            </w:r>
            <w:r w:rsidR="001A099A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-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and macro</w:t>
            </w:r>
            <w:r w:rsidR="001A099A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-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nutrients</w:t>
            </w:r>
            <w:r w:rsidR="001A099A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26A6B199" w14:textId="63F804D6" w:rsidR="006A2163" w:rsidRPr="00916719" w:rsidRDefault="006A2163" w:rsidP="006A21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</w:p>
          <w:p w14:paraId="031E055F" w14:textId="1D4EB76C" w:rsidR="006A2163" w:rsidRPr="00916719" w:rsidRDefault="006A2163" w:rsidP="6C2920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Evidence</w:t>
            </w:r>
            <w:r w:rsidR="00D54717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is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collated from a variety of key learning</w:t>
            </w:r>
            <w:r w:rsidR="00071F28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activities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throughout the topic. The teacher w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ork</w:t>
            </w:r>
            <w:r w:rsidR="00071F28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s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with </w:t>
            </w:r>
            <w:r w:rsidR="000C34F1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students 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to decide 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which pieces </w:t>
            </w:r>
            <w:r w:rsidR="00916719"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of work </w:t>
            </w: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(snapshots) are the best fit to show understanding.   </w:t>
            </w:r>
          </w:p>
          <w:p w14:paraId="31C0BDC5" w14:textId="77777777" w:rsidR="006A2163" w:rsidRPr="00916719" w:rsidRDefault="006A2163" w:rsidP="006A21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 </w:t>
            </w:r>
          </w:p>
          <w:p w14:paraId="20085D83" w14:textId="77777777" w:rsidR="006A2163" w:rsidRPr="00916719" w:rsidRDefault="006A2163" w:rsidP="006A21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 </w:t>
            </w:r>
          </w:p>
          <w:p w14:paraId="69DAA4EB" w14:textId="227D5990" w:rsidR="00F471D1" w:rsidRPr="004F6656" w:rsidRDefault="00F471D1" w:rsidP="6C2920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>Opportunity for assessment of</w:t>
            </w:r>
            <w:r w:rsidR="004F6656">
              <w:rPr>
                <w:rFonts w:asciiTheme="minorHAnsi" w:eastAsiaTheme="minorEastAsia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6C292056" w:rsidRPr="00916719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  <w:t>AS 2.2 Explain the factors that contribute to food and nutritional equity</w:t>
            </w:r>
          </w:p>
          <w:p w14:paraId="30E74DD2" w14:textId="34A1419D" w:rsidR="000C34F1" w:rsidRPr="00916719" w:rsidRDefault="000C34F1" w:rsidP="6C2920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</w:rPr>
            </w:pPr>
          </w:p>
          <w:p w14:paraId="3AA05EAC" w14:textId="77777777" w:rsidR="000C34F1" w:rsidRPr="00916719" w:rsidRDefault="000C34F1" w:rsidP="000C34F1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916719">
              <w:rPr>
                <w:rFonts w:eastAsiaTheme="minorEastAsia" w:cstheme="minorHAnsi"/>
                <w:lang w:eastAsia="en-NZ"/>
              </w:rPr>
              <w:t xml:space="preserve">Evidence of learning will be a portfolio as outlined in the Conditions of Assessment. </w:t>
            </w:r>
          </w:p>
          <w:p w14:paraId="355CB17F" w14:textId="77777777" w:rsidR="000C34F1" w:rsidRPr="00916719" w:rsidRDefault="000C34F1" w:rsidP="000C34F1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916719">
              <w:rPr>
                <w:rFonts w:eastAsiaTheme="minorEastAsia" w:cstheme="minorHAnsi"/>
                <w:lang w:eastAsia="en-NZ"/>
              </w:rPr>
              <w:t xml:space="preserve">For example: a video, annotated photographs, slide deck, creating a website, including images. </w:t>
            </w:r>
          </w:p>
          <w:p w14:paraId="295EF316" w14:textId="401213C7" w:rsidR="000C34F1" w:rsidRPr="00916719" w:rsidRDefault="000C34F1" w:rsidP="000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</w:rPr>
            </w:pPr>
            <w:r w:rsidRPr="00916719">
              <w:rPr>
                <w:rFonts w:asciiTheme="minorHAnsi" w:eastAsiaTheme="minorEastAsia" w:hAnsiTheme="minorHAnsi" w:cstheme="minorHAnsi"/>
                <w:sz w:val="22"/>
                <w:szCs w:val="22"/>
              </w:rPr>
              <w:t>Learning added to Food Literacy journal.</w:t>
            </w:r>
          </w:p>
          <w:p w14:paraId="5AD2359A" w14:textId="41C06AE1" w:rsidR="006A2163" w:rsidRPr="006D2A2F" w:rsidRDefault="006A2163" w:rsidP="006A2163">
            <w:pPr>
              <w:rPr>
                <w:rFonts w:eastAsiaTheme="minorEastAsia" w:cstheme="minorHAnsi"/>
                <w:color w:val="231F20"/>
                <w:lang w:eastAsia="en-NZ"/>
              </w:rPr>
            </w:pPr>
          </w:p>
        </w:tc>
        <w:tc>
          <w:tcPr>
            <w:tcW w:w="1984" w:type="dxa"/>
          </w:tcPr>
          <w:p w14:paraId="7431F052" w14:textId="516FCDDE" w:rsidR="00C54F6E" w:rsidRPr="00766259" w:rsidRDefault="00F52E79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7</w:t>
            </w:r>
            <w:r w:rsidR="006A2163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weeks </w:t>
            </w:r>
          </w:p>
        </w:tc>
      </w:tr>
      <w:tr w:rsidR="006A2163" w:rsidRPr="00766259" w14:paraId="79BA7BD5" w14:textId="77777777" w:rsidTr="6B620631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16B85B7C" w14:textId="77777777" w:rsidR="004F6656" w:rsidRDefault="004F6656" w:rsidP="00F148E9">
            <w:pPr>
              <w:shd w:val="clear" w:color="auto" w:fill="FFFFFF"/>
              <w:spacing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</w:p>
          <w:p w14:paraId="4ED963B9" w14:textId="5119BD5E" w:rsidR="00F148E9" w:rsidRDefault="005447AC" w:rsidP="00F148E9">
            <w:pPr>
              <w:shd w:val="clear" w:color="auto" w:fill="FFFFFF"/>
              <w:spacing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L</w:t>
            </w:r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>earn that a holistic understanding of our food environment requires the inclusion of diverse Māori and Pacific worldviews such as attitudes, values, beliefs, and perspectives</w:t>
            </w:r>
          </w:p>
          <w:p w14:paraId="04D38016" w14:textId="50E6A77D" w:rsidR="00F148E9" w:rsidRDefault="002205FC" w:rsidP="00F148E9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L</w:t>
            </w:r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>earn about food as an expression of cultural identity</w:t>
            </w:r>
          </w:p>
          <w:p w14:paraId="40E5713B" w14:textId="75104115" w:rsidR="00F148E9" w:rsidRDefault="002205FC" w:rsidP="00F148E9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E</w:t>
            </w:r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>xplor</w:t>
            </w:r>
            <w:r>
              <w:rPr>
                <w:rStyle w:val="eop"/>
                <w:rFonts w:eastAsiaTheme="minorEastAsia" w:cstheme="minorHAnsi"/>
                <w:lang w:eastAsia="en-NZ"/>
              </w:rPr>
              <w:t>e</w:t>
            </w:r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 xml:space="preserve"> Māori and Pacific food-related cultural practices</w:t>
            </w:r>
          </w:p>
          <w:p w14:paraId="3D35C8D7" w14:textId="04693171" w:rsidR="00F148E9" w:rsidRDefault="002205FC" w:rsidP="00F148E9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E</w:t>
            </w:r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>xamin</w:t>
            </w:r>
            <w:r>
              <w:rPr>
                <w:rStyle w:val="eop"/>
                <w:rFonts w:eastAsiaTheme="minorEastAsia" w:cstheme="minorHAnsi"/>
                <w:lang w:eastAsia="en-NZ"/>
              </w:rPr>
              <w:t xml:space="preserve">e </w:t>
            </w:r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 xml:space="preserve">sustainability within the food environment using a </w:t>
            </w:r>
            <w:proofErr w:type="spellStart"/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>kaitiakitanga</w:t>
            </w:r>
            <w:proofErr w:type="spellEnd"/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 xml:space="preserve"> perspective</w:t>
            </w:r>
          </w:p>
          <w:p w14:paraId="6114D7F6" w14:textId="27B13056" w:rsidR="0078032B" w:rsidRPr="00687E0D" w:rsidRDefault="0038366D" w:rsidP="00687E0D">
            <w:pPr>
              <w:shd w:val="clear" w:color="auto" w:fill="FFFFFF"/>
              <w:spacing w:before="100" w:beforeAutospacing="1"/>
              <w:rPr>
                <w:rFonts w:eastAsiaTheme="minorEastAsia" w:cstheme="minorHAnsi"/>
                <w:lang w:eastAsia="en-NZ"/>
              </w:rPr>
            </w:pPr>
            <w:r>
              <w:rPr>
                <w:rStyle w:val="eop"/>
                <w:rFonts w:eastAsiaTheme="minorEastAsia" w:cstheme="minorHAnsi"/>
                <w:lang w:eastAsia="en-NZ"/>
              </w:rPr>
              <w:t>A</w:t>
            </w:r>
            <w:r w:rsidR="00F148E9" w:rsidRPr="009526FE">
              <w:rPr>
                <w:rStyle w:val="eop"/>
                <w:rFonts w:eastAsiaTheme="minorEastAsia" w:cstheme="minorHAnsi"/>
                <w:lang w:eastAsia="en-NZ"/>
              </w:rPr>
              <w:t>pply an evidence-based approach towards food information and practices</w:t>
            </w:r>
          </w:p>
        </w:tc>
        <w:tc>
          <w:tcPr>
            <w:tcW w:w="14738" w:type="dxa"/>
            <w:shd w:val="clear" w:color="auto" w:fill="auto"/>
          </w:tcPr>
          <w:p w14:paraId="16AF7B64" w14:textId="110936CA" w:rsidR="002867E9" w:rsidRPr="002867E9" w:rsidRDefault="002867E9" w:rsidP="002867E9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2867E9">
              <w:rPr>
                <w:rFonts w:asciiTheme="minorHAnsi" w:hAnsiTheme="minorHAnsi" w:cstheme="minorHAnsi"/>
              </w:rPr>
              <w:t>Connection to Land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21DC15F" w14:textId="55FEB16C" w:rsidR="00F471D1" w:rsidRPr="002867E9" w:rsidRDefault="00F471D1" w:rsidP="00092B85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2867E9">
              <w:rPr>
                <w:rFonts w:asciiTheme="minorHAnsi" w:hAnsiTheme="minorHAnsi" w:cstheme="minorHAnsi"/>
              </w:rPr>
              <w:t>Feeding a hungry community and leaving a lighter footprint for others to follow - sustainability </w:t>
            </w:r>
          </w:p>
          <w:p w14:paraId="48E497A5" w14:textId="77777777" w:rsidR="002867E9" w:rsidRPr="002867E9" w:rsidRDefault="002867E9" w:rsidP="002867E9"/>
          <w:p w14:paraId="43F54D2A" w14:textId="7AD08DCE" w:rsidR="002867E9" w:rsidRPr="002867E9" w:rsidRDefault="002867E9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How are attitudes and values connected to cultural food practices</w:t>
            </w:r>
            <w:r w:rsidR="00861186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,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 related to wellbeing and the land?</w:t>
            </w:r>
          </w:p>
          <w:p w14:paraId="60BC0D44" w14:textId="63CE009E" w:rsidR="00F52E79" w:rsidRPr="00F52E79" w:rsidRDefault="002867E9" w:rsidP="002867E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Understand multiple ways in which food can be sourced</w:t>
            </w:r>
            <w:r w:rsidR="00F52E7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such as: </w:t>
            </w: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F9F3304" w14:textId="5EF24851" w:rsidR="00F52E79" w:rsidRPr="00F52E79" w:rsidRDefault="00F52E79" w:rsidP="00F52E7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</w:t>
            </w:r>
            <w:r w:rsidR="002867E9"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artering</w:t>
            </w:r>
          </w:p>
          <w:p w14:paraId="1D5BA91E" w14:textId="77777777" w:rsidR="00861186" w:rsidRPr="00861186" w:rsidRDefault="00F52E79" w:rsidP="00861186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</w:t>
            </w:r>
            <w:r w:rsidR="002867E9"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rowing</w:t>
            </w:r>
          </w:p>
          <w:p w14:paraId="108165C2" w14:textId="4C3EB968" w:rsidR="00F52E79" w:rsidRPr="00861186" w:rsidRDefault="00F52E79" w:rsidP="00861186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86118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</w:t>
            </w:r>
            <w:r w:rsidR="002867E9" w:rsidRPr="0086118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oraging</w:t>
            </w:r>
          </w:p>
          <w:p w14:paraId="54C5B963" w14:textId="77777777" w:rsidR="00F52E79" w:rsidRPr="00F52E79" w:rsidRDefault="002867E9" w:rsidP="00F52E7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shopping from supermarket</w:t>
            </w:r>
          </w:p>
          <w:p w14:paraId="31F6209C" w14:textId="5FEAF06D" w:rsidR="002867E9" w:rsidRPr="00F52E79" w:rsidRDefault="002867E9" w:rsidP="00F52E7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growing our own</w:t>
            </w:r>
            <w:r w:rsidR="00A45A3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1F1BCF1D" w14:textId="77777777" w:rsidR="00F52E79" w:rsidRPr="00795D28" w:rsidRDefault="00F52E79" w:rsidP="00F52E79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</w:p>
          <w:p w14:paraId="30786EC2" w14:textId="77777777" w:rsidR="002867E9" w:rsidRPr="00795D28" w:rsidRDefault="002867E9" w:rsidP="002867E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right="3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Understand </w:t>
            </w:r>
            <w:r w:rsidRPr="00795D28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attitudes, values,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</w:t>
            </w:r>
            <w:r w:rsidRPr="00795D28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eliefs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,</w:t>
            </w:r>
            <w:r w:rsidRPr="00795D28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and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</w:t>
            </w: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ractices around acquiring food from different perspectives. For example, food giveaways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795D28">
              <w:rPr>
                <w:rStyle w:val="normaltextrun"/>
                <w:rFonts w:asciiTheme="minorHAnsi" w:hAnsiTheme="minorHAnsi" w:cstheme="minorHAnsi"/>
                <w:lang w:val="en-US"/>
              </w:rPr>
              <w:t> </w:t>
            </w:r>
          </w:p>
          <w:p w14:paraId="173DDD13" w14:textId="77777777" w:rsidR="002867E9" w:rsidRPr="00795D28" w:rsidRDefault="002867E9" w:rsidP="002867E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Explore how practices have changed over time in relation to food waste and buying seasonally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  <w:r w:rsidRPr="00795D2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  <w:p w14:paraId="31966F83" w14:textId="4E4A7F7A" w:rsidR="002867E9" w:rsidRPr="002867E9" w:rsidRDefault="002867E9" w:rsidP="00FE75C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2867E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Understand the issues associated with different types of food systems affecting food quality and access to food</w:t>
            </w:r>
            <w:r w:rsidR="00A40A4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</w:t>
            </w:r>
            <w:r w:rsidRPr="002867E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and the impact on wellbeing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00733D54" w14:textId="247A2755" w:rsidR="00F471D1" w:rsidRPr="00795D28" w:rsidRDefault="00F471D1" w:rsidP="00F471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795D28">
              <w:rPr>
                <w:rStyle w:val="normaltextrun"/>
                <w:rFonts w:asciiTheme="minorHAnsi" w:hAnsiTheme="minorHAnsi" w:cstheme="minorHAnsi"/>
                <w:color w:val="231F20"/>
                <w:sz w:val="22"/>
                <w:szCs w:val="22"/>
              </w:rPr>
              <w:t> </w:t>
            </w:r>
            <w:r w:rsidRPr="00795D28">
              <w:rPr>
                <w:rStyle w:val="eop"/>
                <w:rFonts w:asciiTheme="minorHAnsi" w:hAnsiTheme="minorHAnsi" w:cstheme="minorHAnsi"/>
                <w:color w:val="231F20"/>
                <w:sz w:val="22"/>
                <w:szCs w:val="22"/>
              </w:rPr>
              <w:t> </w:t>
            </w:r>
          </w:p>
          <w:p w14:paraId="42840FE4" w14:textId="5B196EE0" w:rsidR="002867E9" w:rsidRDefault="002867E9" w:rsidP="00F471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Develop understanding of</w:t>
            </w:r>
            <w:r w:rsidR="00F148E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such things as: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AFDE13" w14:textId="08752A68" w:rsidR="00F148E9" w:rsidRDefault="00F148E9" w:rsidP="385BB3E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hauora</w:t>
            </w:r>
            <w:proofErr w:type="spellEnd"/>
          </w:p>
          <w:p w14:paraId="1BF4EAF2" w14:textId="5510CA2B" w:rsidR="00F148E9" w:rsidRDefault="00031482" w:rsidP="385BB3E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rāhui</w:t>
            </w:r>
            <w:proofErr w:type="spellEnd"/>
            <w:r w:rsidR="00F471D1"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 Tapu, Noa – protocols</w:t>
            </w:r>
          </w:p>
          <w:p w14:paraId="42CF71A2" w14:textId="77777777" w:rsidR="00F148E9" w:rsidRDefault="00F471D1" w:rsidP="00F148E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kawa- rights and responsibilities around gathering food</w:t>
            </w:r>
          </w:p>
          <w:p w14:paraId="1511C5FF" w14:textId="3ACE7496" w:rsidR="00F148E9" w:rsidRDefault="00031482" w:rsidP="385BB3E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kaitiakitanga</w:t>
            </w:r>
            <w:proofErr w:type="spellEnd"/>
          </w:p>
          <w:p w14:paraId="30015596" w14:textId="69A9D048" w:rsidR="00F148E9" w:rsidRDefault="00F148E9" w:rsidP="385BB3E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manaakitanga</w:t>
            </w:r>
            <w:proofErr w:type="spellEnd"/>
          </w:p>
          <w:p w14:paraId="243B1E6F" w14:textId="34B19EDD" w:rsidR="00F148E9" w:rsidRDefault="00F148E9" w:rsidP="385BB3E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maramataka</w:t>
            </w:r>
            <w:proofErr w:type="spellEnd"/>
            <w:r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471D1" w:rsidRPr="385BB3E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calendar</w:t>
            </w:r>
          </w:p>
          <w:p w14:paraId="600477C9" w14:textId="6B135684" w:rsidR="00F471D1" w:rsidRPr="00795D28" w:rsidRDefault="00F471D1" w:rsidP="00F148E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D2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seasonal calendar of when to plan</w:t>
            </w:r>
            <w:r w:rsidR="00F148E9">
              <w:rPr>
                <w:rStyle w:val="eop"/>
              </w:rPr>
              <w:t>t</w:t>
            </w:r>
            <w:r w:rsidR="00A45A37">
              <w:rPr>
                <w:rStyle w:val="eop"/>
              </w:rPr>
              <w:t>.</w:t>
            </w:r>
          </w:p>
          <w:p w14:paraId="267443AC" w14:textId="77777777" w:rsidR="00F471D1" w:rsidRPr="00795D28" w:rsidRDefault="00F471D1" w:rsidP="00F471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D2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5D70E7" w14:textId="55D1D245" w:rsidR="00F471D1" w:rsidRPr="006E5036" w:rsidRDefault="00F471D1" w:rsidP="6C292056">
            <w:pPr>
              <w:spacing w:line="257" w:lineRule="auto"/>
              <w:textAlignment w:val="baseline"/>
              <w:rPr>
                <w:rFonts w:cstheme="minorHAnsi"/>
              </w:rPr>
            </w:pPr>
            <w:r w:rsidRPr="00795D28">
              <w:rPr>
                <w:rStyle w:val="normaltextrun"/>
                <w:rFonts w:cstheme="minorHAnsi"/>
              </w:rPr>
              <w:t>Opportunity for assessment of</w:t>
            </w:r>
            <w:r w:rsidR="006E5036">
              <w:rPr>
                <w:rStyle w:val="normaltextrun"/>
                <w:rFonts w:cstheme="minorHAnsi"/>
              </w:rPr>
              <w:t xml:space="preserve"> </w:t>
            </w:r>
            <w:r w:rsidR="006E5036">
              <w:rPr>
                <w:rStyle w:val="normaltextrun"/>
                <w:rFonts w:cstheme="minorHAnsi"/>
                <w:b/>
                <w:bCs/>
                <w:color w:val="FF0000"/>
              </w:rPr>
              <w:t>AS</w:t>
            </w:r>
            <w:r w:rsidR="6C292056" w:rsidRPr="00031482">
              <w:rPr>
                <w:rFonts w:eastAsia="Calibri" w:cstheme="minorHAnsi"/>
                <w:b/>
                <w:bCs/>
                <w:color w:val="FF0000"/>
              </w:rPr>
              <w:t xml:space="preserve"> 2.1 Explain the attitudes</w:t>
            </w:r>
            <w:r w:rsidR="00092B85" w:rsidRPr="00031482">
              <w:rPr>
                <w:rFonts w:eastAsia="Calibri" w:cstheme="minorHAnsi"/>
                <w:b/>
                <w:bCs/>
                <w:color w:val="FF0000"/>
              </w:rPr>
              <w:t xml:space="preserve"> and values</w:t>
            </w:r>
            <w:r w:rsidR="6C292056" w:rsidRPr="00031482">
              <w:rPr>
                <w:rFonts w:eastAsia="Calibri" w:cstheme="minorHAnsi"/>
                <w:b/>
                <w:bCs/>
                <w:color w:val="FF0000"/>
              </w:rPr>
              <w:t xml:space="preserve"> that relate to a Māori or Pacific cultural food practice </w:t>
            </w:r>
          </w:p>
          <w:p w14:paraId="30C285A3" w14:textId="77777777" w:rsidR="002867E9" w:rsidRPr="00CC6D61" w:rsidRDefault="00F471D1" w:rsidP="002867E9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br/>
            </w:r>
            <w:r w:rsidR="002867E9" w:rsidRPr="00CC6D61">
              <w:rPr>
                <w:rFonts w:eastAsiaTheme="minorEastAsia" w:cstheme="minorHAnsi"/>
                <w:lang w:eastAsia="en-NZ"/>
              </w:rPr>
              <w:t xml:space="preserve">Evidence of learning will be a portfolio as outlined in the Conditions of Assessment. </w:t>
            </w:r>
          </w:p>
          <w:p w14:paraId="318D9DC0" w14:textId="77777777" w:rsidR="002867E9" w:rsidRDefault="002867E9" w:rsidP="002867E9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CC6D61">
              <w:rPr>
                <w:rFonts w:eastAsiaTheme="minorEastAsia" w:cstheme="minorHAnsi"/>
                <w:lang w:eastAsia="en-NZ"/>
              </w:rPr>
              <w:t>For example: a vide</w:t>
            </w:r>
            <w:r>
              <w:rPr>
                <w:rFonts w:eastAsiaTheme="minorEastAsia" w:cstheme="minorHAnsi"/>
                <w:lang w:eastAsia="en-NZ"/>
              </w:rPr>
              <w:t>o, annotated photographs, slide deck</w:t>
            </w:r>
            <w:r w:rsidRPr="00CC6D61">
              <w:rPr>
                <w:rFonts w:eastAsiaTheme="minorEastAsia" w:cstheme="minorHAnsi"/>
                <w:lang w:eastAsia="en-NZ"/>
              </w:rPr>
              <w:t xml:space="preserve">, creating a website, including images. </w:t>
            </w:r>
          </w:p>
          <w:p w14:paraId="63F6919E" w14:textId="20E998EE" w:rsidR="00F471D1" w:rsidRPr="00F471D1" w:rsidRDefault="00F471D1" w:rsidP="6C292056">
            <w:pPr>
              <w:textAlignment w:val="baseline"/>
            </w:pPr>
          </w:p>
          <w:p w14:paraId="58EACA7D" w14:textId="6BCC0D41" w:rsidR="00F471D1" w:rsidRPr="00F471D1" w:rsidRDefault="00F471D1" w:rsidP="6C2920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77ADE276" w14:textId="49B86594" w:rsidR="00F471D1" w:rsidRPr="00F471D1" w:rsidRDefault="00F471D1" w:rsidP="00F471D1"/>
        </w:tc>
        <w:tc>
          <w:tcPr>
            <w:tcW w:w="1984" w:type="dxa"/>
          </w:tcPr>
          <w:p w14:paraId="64D5D0DC" w14:textId="4039364F" w:rsidR="006A2163" w:rsidRDefault="00F52E79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7</w:t>
            </w:r>
            <w:r w:rsidR="00F471D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weeks </w:t>
            </w:r>
          </w:p>
        </w:tc>
      </w:tr>
      <w:tr w:rsidR="006A2163" w:rsidRPr="00766259" w14:paraId="058524B5" w14:textId="77777777" w:rsidTr="6B620631">
        <w:trPr>
          <w:cantSplit/>
          <w:trHeight w:val="6900"/>
        </w:trPr>
        <w:tc>
          <w:tcPr>
            <w:tcW w:w="4394" w:type="dxa"/>
            <w:shd w:val="clear" w:color="auto" w:fill="auto"/>
          </w:tcPr>
          <w:p w14:paraId="71C8F997" w14:textId="77777777" w:rsidR="004F6656" w:rsidRDefault="004F6656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62F931DD" w14:textId="7D7B79A6" w:rsidR="00F148E9" w:rsidRDefault="005839DC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t>E</w:t>
            </w:r>
            <w:r w:rsidR="00F148E9" w:rsidRPr="009526FE">
              <w:rPr>
                <w:rFonts w:eastAsiaTheme="minorEastAsia" w:cstheme="minorHAnsi"/>
                <w:lang w:eastAsia="en-NZ"/>
              </w:rPr>
              <w:t>xplor</w:t>
            </w:r>
            <w:r>
              <w:rPr>
                <w:rFonts w:eastAsiaTheme="minorEastAsia" w:cstheme="minorHAnsi"/>
                <w:lang w:eastAsia="en-NZ"/>
              </w:rPr>
              <w:t>e</w:t>
            </w:r>
            <w:r w:rsidR="00F148E9" w:rsidRPr="009526FE">
              <w:rPr>
                <w:rFonts w:eastAsiaTheme="minorEastAsia" w:cstheme="minorHAnsi"/>
                <w:lang w:eastAsia="en-NZ"/>
              </w:rPr>
              <w:t xml:space="preserve"> how health promotion actions can enhance mana and </w:t>
            </w:r>
            <w:proofErr w:type="spellStart"/>
            <w:r w:rsidR="00F148E9" w:rsidRPr="009526FE">
              <w:rPr>
                <w:rFonts w:eastAsiaTheme="minorEastAsia" w:cstheme="minorHAnsi"/>
                <w:lang w:eastAsia="en-NZ"/>
              </w:rPr>
              <w:t>hauora</w:t>
            </w:r>
            <w:proofErr w:type="spellEnd"/>
          </w:p>
          <w:p w14:paraId="0CFAE4BF" w14:textId="77777777" w:rsidR="00F148E9" w:rsidRPr="009526FE" w:rsidRDefault="00F148E9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102637B9" w14:textId="04F6D390" w:rsidR="00F148E9" w:rsidRDefault="005839DC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t>A</w:t>
            </w:r>
            <w:r w:rsidR="00F148E9" w:rsidRPr="009526FE">
              <w:rPr>
                <w:rFonts w:eastAsiaTheme="minorEastAsia" w:cstheme="minorHAnsi"/>
                <w:lang w:eastAsia="en-NZ"/>
              </w:rPr>
              <w:t>pply an evidence-based approach towards food information and practices</w:t>
            </w:r>
          </w:p>
          <w:p w14:paraId="253480DC" w14:textId="77777777" w:rsidR="00F148E9" w:rsidRPr="009526FE" w:rsidRDefault="00F148E9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6A404ACA" w14:textId="0C1EFFBA" w:rsidR="00F148E9" w:rsidRDefault="005839DC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t>D</w:t>
            </w:r>
            <w:r w:rsidR="00F148E9" w:rsidRPr="009526FE">
              <w:rPr>
                <w:rFonts w:eastAsiaTheme="minorEastAsia" w:cstheme="minorHAnsi"/>
                <w:lang w:eastAsia="en-NZ"/>
              </w:rPr>
              <w:t>evelop a positive and health-enhancing approach towards food</w:t>
            </w:r>
          </w:p>
          <w:p w14:paraId="3F82238A" w14:textId="77777777" w:rsidR="00F148E9" w:rsidRPr="009526FE" w:rsidRDefault="00F148E9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7E9A3E25" w14:textId="1C452FD4" w:rsidR="00F148E9" w:rsidRDefault="005839DC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t>E</w:t>
            </w:r>
            <w:r w:rsidR="00F148E9" w:rsidRPr="009526FE">
              <w:rPr>
                <w:rFonts w:eastAsiaTheme="minorEastAsia" w:cstheme="minorHAnsi"/>
                <w:lang w:eastAsia="en-NZ"/>
              </w:rPr>
              <w:t>xplor</w:t>
            </w:r>
            <w:r>
              <w:rPr>
                <w:rFonts w:eastAsiaTheme="minorEastAsia" w:cstheme="minorHAnsi"/>
                <w:lang w:eastAsia="en-NZ"/>
              </w:rPr>
              <w:t>e</w:t>
            </w:r>
            <w:r w:rsidR="00F148E9" w:rsidRPr="009526FE">
              <w:rPr>
                <w:rFonts w:eastAsiaTheme="minorEastAsia" w:cstheme="minorHAnsi"/>
                <w:lang w:eastAsia="en-NZ"/>
              </w:rPr>
              <w:t xml:space="preserve"> the effects of food and nutrition on health and wellbeing at an individual, interpersonal, and </w:t>
            </w:r>
            <w:proofErr w:type="spellStart"/>
            <w:r w:rsidR="00F148E9" w:rsidRPr="009526FE">
              <w:rPr>
                <w:rFonts w:eastAsiaTheme="minorEastAsia" w:cstheme="minorHAnsi"/>
                <w:lang w:eastAsia="en-NZ"/>
              </w:rPr>
              <w:t>whānau</w:t>
            </w:r>
            <w:proofErr w:type="spellEnd"/>
            <w:r w:rsidR="00F148E9" w:rsidRPr="009526FE">
              <w:rPr>
                <w:rFonts w:eastAsiaTheme="minorEastAsia" w:cstheme="minorHAnsi"/>
                <w:lang w:eastAsia="en-NZ"/>
              </w:rPr>
              <w:t xml:space="preserve"> level</w:t>
            </w:r>
          </w:p>
          <w:p w14:paraId="77553D0E" w14:textId="77777777" w:rsidR="00C35799" w:rsidRDefault="00C35799" w:rsidP="00F148E9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4CF5A899" w14:textId="4EEE6EF1" w:rsidR="00C35799" w:rsidRPr="003E4845" w:rsidRDefault="005839DC" w:rsidP="003E4845">
            <w:r>
              <w:t>D</w:t>
            </w:r>
            <w:r w:rsidR="00C35799" w:rsidRPr="00D24693">
              <w:t>evelop a positive and health</w:t>
            </w:r>
            <w:r w:rsidR="00C35799">
              <w:t>-</w:t>
            </w:r>
            <w:r w:rsidR="00C35799" w:rsidRPr="00D24693">
              <w:t>enhancing</w:t>
            </w:r>
            <w:r w:rsidR="00C35799">
              <w:t xml:space="preserve"> </w:t>
            </w:r>
            <w:r w:rsidR="00C35799" w:rsidRPr="00D24693">
              <w:t>approach towards food</w:t>
            </w:r>
          </w:p>
          <w:p w14:paraId="3FE54318" w14:textId="59B36B7E" w:rsidR="0078032B" w:rsidRPr="0078032B" w:rsidRDefault="0078032B" w:rsidP="6C292056">
            <w:pPr>
              <w:spacing w:line="360" w:lineRule="auto"/>
              <w:ind w:left="360"/>
              <w:rPr>
                <w:i/>
                <w:iCs/>
                <w:color w:val="4472C4" w:themeColor="accent1"/>
              </w:rPr>
            </w:pPr>
          </w:p>
        </w:tc>
        <w:tc>
          <w:tcPr>
            <w:tcW w:w="14738" w:type="dxa"/>
            <w:shd w:val="clear" w:color="auto" w:fill="auto"/>
          </w:tcPr>
          <w:p w14:paraId="1E81DA19" w14:textId="6497EFAF" w:rsidR="00F471D1" w:rsidRDefault="00F471D1" w:rsidP="00F148E9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F148E9">
              <w:rPr>
                <w:rFonts w:asciiTheme="minorHAnsi" w:hAnsiTheme="minorHAnsi" w:cstheme="minorHAnsi"/>
              </w:rPr>
              <w:t>Dare to change – How can we make the healthy choice the easy choice for ourselves and others </w:t>
            </w:r>
          </w:p>
          <w:p w14:paraId="33D2F7A6" w14:textId="77777777" w:rsidR="00F148E9" w:rsidRPr="00F148E9" w:rsidRDefault="00F148E9" w:rsidP="00F148E9"/>
          <w:p w14:paraId="6F6434CD" w14:textId="388770A9" w:rsidR="00F471D1" w:rsidRPr="00092B85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Explore health promotion models that can be applied 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to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food contexts</w:t>
            </w:r>
            <w:r w:rsidR="00527A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Pr="00092B85">
              <w:rPr>
                <w:rStyle w:val="normaltextrun"/>
                <w:lang w:val="en-US"/>
              </w:rPr>
              <w:t> </w:t>
            </w:r>
          </w:p>
          <w:p w14:paraId="724A85BF" w14:textId="77142252" w:rsidR="00F471D1" w:rsidRPr="00092B85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Explore health</w:t>
            </w:r>
            <w:r w:rsidR="004F665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enhancing strategies and evaluation benefits and limitations</w:t>
            </w:r>
            <w:r w:rsidR="00527A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2FF9D22B" w14:textId="10CC6188" w:rsidR="00F471D1" w:rsidRPr="00092B85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Understand that effective 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health promotion models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will address relevant determinates of health &amp; sustained change for the individual, </w:t>
            </w:r>
            <w:proofErr w:type="spellStart"/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wh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ā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nau</w:t>
            </w:r>
            <w:proofErr w:type="spellEnd"/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community</w:t>
            </w:r>
            <w:r w:rsidR="00527A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Pr="00092B85">
              <w:rPr>
                <w:rStyle w:val="normaltextrun"/>
                <w:lang w:val="en-US"/>
              </w:rPr>
              <w:t> </w:t>
            </w:r>
          </w:p>
          <w:p w14:paraId="1E00971C" w14:textId="0BC64F57" w:rsidR="00F471D1" w:rsidRPr="00092B85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Critically </w:t>
            </w:r>
            <w:proofErr w:type="spellStart"/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analyse</w:t>
            </w:r>
            <w:proofErr w:type="spellEnd"/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range of 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health promotion model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strategies</w:t>
            </w:r>
            <w:r w:rsidR="00527A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17B1DEB2" w14:textId="77777777" w:rsidR="00F471D1" w:rsidRPr="00F471D1" w:rsidRDefault="00F471D1" w:rsidP="00F471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471D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F471D1">
              <w:rPr>
                <w:rStyle w:val="eop"/>
                <w:sz w:val="22"/>
                <w:szCs w:val="22"/>
              </w:rPr>
              <w:t> </w:t>
            </w:r>
          </w:p>
          <w:p w14:paraId="4427F411" w14:textId="523F9D86" w:rsidR="006B0791" w:rsidRPr="006B0791" w:rsidRDefault="00F471D1" w:rsidP="006B07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</w:rPr>
            </w:pPr>
            <w:r w:rsidRPr="00F471D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Activities </w:t>
            </w:r>
            <w:r w:rsidRPr="00F471D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F471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B27502" w14:textId="0D186D29" w:rsidR="006B0791" w:rsidRPr="006B0791" w:rsidRDefault="006B079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Learn about the three Health Promotion Models</w:t>
            </w:r>
            <w:r w:rsidR="00DE69E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61C53B5D" w14:textId="35A4789D" w:rsidR="00F471D1" w:rsidRPr="00092B85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Investigate culturally responsive </w:t>
            </w:r>
            <w:r w:rsidR="006F29BC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health promotion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 their effectiveness on wellbeing on 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socio-ecological perspective</w:t>
            </w:r>
            <w:r w:rsidR="0041218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092B85">
              <w:rPr>
                <w:rStyle w:val="normaltextrun"/>
                <w:color w:val="000000"/>
                <w:lang w:val="en-US"/>
              </w:rPr>
              <w:t> </w:t>
            </w:r>
          </w:p>
          <w:p w14:paraId="66835026" w14:textId="7303ACA1" w:rsidR="00F471D1" w:rsidRDefault="00F471D1" w:rsidP="6B62063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6B62063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Use a tool like the Ultimate Cheat sheet for Thinking </w:t>
            </w:r>
            <w:hyperlink r:id="rId11">
              <w:r w:rsidR="6C292056" w:rsidRPr="6B620631">
                <w:rPr>
                  <w:rStyle w:val="normaltextrun"/>
                  <w:rFonts w:ascii="Calibri" w:hAnsi="Calibri" w:cs="Calibri"/>
                  <w:color w:val="4472C4" w:themeColor="accent1"/>
                  <w:sz w:val="22"/>
                  <w:szCs w:val="22"/>
                  <w:u w:val="single"/>
                </w:rPr>
                <w:t>critical thinking sheet (aals.org)</w:t>
              </w:r>
            </w:hyperlink>
            <w:r w:rsidRPr="6B62063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to unpack a range of health </w:t>
            </w:r>
            <w:r w:rsidR="006F29BC" w:rsidRPr="6B62063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actions</w:t>
            </w:r>
            <w:r w:rsidRPr="6B62063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12189" w:rsidRPr="6B62063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</w:t>
            </w:r>
            <w:r w:rsidRPr="6B62063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their effectiveness on wellbeing from socio-ecological perspectives</w:t>
            </w:r>
            <w:r w:rsidR="00412189" w:rsidRPr="6B62063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01A7E26" w14:textId="6748643B" w:rsidR="006B0791" w:rsidRDefault="006B079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Develop understanding about how to use the health promotion models to identify the most effective to address a food related issue. </w:t>
            </w:r>
          </w:p>
          <w:p w14:paraId="07150FEE" w14:textId="5F3A1CF3" w:rsidR="00925C90" w:rsidRDefault="00925C90" w:rsidP="00925C9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375773C" w14:textId="43323868" w:rsidR="006B0791" w:rsidRPr="006B0791" w:rsidRDefault="006B0791" w:rsidP="006B07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B079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Teaching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6B079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ctivities: </w:t>
            </w:r>
          </w:p>
          <w:p w14:paraId="2C6B288C" w14:textId="77777777" w:rsidR="00F148E9" w:rsidRPr="00F148E9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Visit 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Health 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P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romotion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 their community to show how they are driving 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Health 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P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romotion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41218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such as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03BD19A9" w14:textId="030FDDEF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food rescue</w:t>
            </w:r>
          </w:p>
          <w:p w14:paraId="36BDB2D4" w14:textId="77777777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social supermarket</w:t>
            </w:r>
          </w:p>
          <w:p w14:paraId="4AB27A3D" w14:textId="77777777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school lunches</w:t>
            </w:r>
          </w:p>
          <w:p w14:paraId="34D8F00B" w14:textId="77777777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breakfast clubs</w:t>
            </w:r>
          </w:p>
          <w:p w14:paraId="72040F71" w14:textId="77777777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garden to table</w:t>
            </w:r>
          </w:p>
          <w:p w14:paraId="2E69BFB9" w14:textId="1AC424FA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 pantry</w:t>
            </w:r>
            <w:r w:rsidR="009F1F5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5AEC3DED" w14:textId="2EF7D91F" w:rsidR="00F148E9" w:rsidRDefault="009F1F5F" w:rsidP="009F1F5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 watch 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 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related video 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such as: </w:t>
            </w:r>
          </w:p>
          <w:p w14:paraId="62E5A1F6" w14:textId="77777777" w:rsidR="00F148E9" w:rsidRDefault="00F471D1" w:rsidP="00F148E9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milk in schools</w:t>
            </w:r>
          </w:p>
          <w:p w14:paraId="3E4DEB76" w14:textId="71273C29" w:rsidR="00F148E9" w:rsidRDefault="00F471D1" w:rsidP="00F148E9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school lunches</w:t>
            </w:r>
            <w:r w:rsidR="00954F9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761B19A2" w14:textId="77777777" w:rsidR="00925C90" w:rsidRPr="00F148E9" w:rsidRDefault="00925C90" w:rsidP="00925C9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45B11ED" w14:textId="77777777" w:rsidR="00F148E9" w:rsidRPr="00F148E9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Research current health promotion models </w:t>
            </w:r>
            <w:r w:rsidR="0041218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such as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7310634E" w14:textId="53661728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regional newsletter</w:t>
            </w:r>
            <w:r w:rsidR="00D6784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(google health promotion newsletters) </w:t>
            </w:r>
          </w:p>
          <w:p w14:paraId="67937477" w14:textId="0E933F23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changes to 5+ a day </w:t>
            </w:r>
          </w:p>
          <w:p w14:paraId="436493FD" w14:textId="77777777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where is</w:t>
            </w:r>
            <w:r w:rsidR="00D6784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food pyramid? </w:t>
            </w:r>
          </w:p>
          <w:p w14:paraId="5DBA3188" w14:textId="5E33289E" w:rsidR="00F148E9" w:rsidRPr="00F148E9" w:rsidRDefault="00B81DEE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W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here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 heart tick</w:t>
            </w:r>
            <w:r w:rsidR="00D6784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?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3C92DB9" w14:textId="54308D30" w:rsidR="00F148E9" w:rsidRPr="00F148E9" w:rsidRDefault="005A2549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ow helpful are the National Nutritional Guidelines? </w:t>
            </w:r>
          </w:p>
          <w:p w14:paraId="5568042B" w14:textId="5D6396AC" w:rsidR="00F471D1" w:rsidRDefault="00480CE8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ow easy is it to apply the plate model </w:t>
            </w:r>
            <w:r w:rsidR="00D6784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 Healthy Heart </w:t>
            </w:r>
            <w:r w:rsidR="00B027B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model?</w:t>
            </w:r>
            <w:r w:rsidR="00F471D1" w:rsidRPr="00092B85">
              <w:rPr>
                <w:rStyle w:val="normaltextrun"/>
                <w:color w:val="000000"/>
                <w:lang w:val="en-US"/>
              </w:rPr>
              <w:t> </w:t>
            </w:r>
          </w:p>
          <w:p w14:paraId="61C2EF25" w14:textId="77777777" w:rsidR="00925C90" w:rsidRPr="00092B85" w:rsidRDefault="00925C90" w:rsidP="00925C9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color w:val="000000"/>
                <w:lang w:val="en-US"/>
              </w:rPr>
            </w:pPr>
          </w:p>
          <w:p w14:paraId="482B514E" w14:textId="46108965" w:rsidR="00F148E9" w:rsidRPr="00F148E9" w:rsidRDefault="00F148E9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Investigate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rganisations</w:t>
            </w:r>
            <w:proofErr w:type="spellEnd"/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that promote health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such as</w:t>
            </w:r>
            <w:r w:rsidR="00F52E7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0FF95380" w14:textId="7398924D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Heart </w:t>
            </w:r>
            <w:r w:rsidR="004F665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F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oundation </w:t>
            </w:r>
          </w:p>
          <w:p w14:paraId="3AA956D4" w14:textId="3F318CD5" w:rsidR="00F148E9" w:rsidRPr="00F148E9" w:rsidRDefault="004F6656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D</w:t>
            </w:r>
            <w:r w:rsidR="00F471D1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iabetes NZ </w:t>
            </w:r>
          </w:p>
          <w:p w14:paraId="20853997" w14:textId="6AF4A0C4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Cancer Society </w:t>
            </w:r>
          </w:p>
          <w:p w14:paraId="5F425E3C" w14:textId="45C873CB" w:rsidR="00F148E9" w:rsidRPr="00F148E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Vegetables.</w:t>
            </w:r>
            <w:r w:rsidR="004F665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c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o.nz </w:t>
            </w:r>
          </w:p>
          <w:p w14:paraId="1274B666" w14:textId="0B08DA26" w:rsidR="00F471D1" w:rsidRPr="00F52E79" w:rsidRDefault="00F471D1" w:rsidP="00F148E9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M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inistry 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 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ealt</w:t>
            </w:r>
            <w:r w:rsidR="00F148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5803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0A6FB49C" w14:textId="77777777" w:rsidR="00F52E79" w:rsidRPr="00092B85" w:rsidRDefault="00F52E79" w:rsidP="00F52E79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color w:val="000000"/>
                <w:lang w:val="en-US"/>
              </w:rPr>
            </w:pPr>
          </w:p>
          <w:p w14:paraId="22861331" w14:textId="408183C4" w:rsidR="00F471D1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Identify aspects of how communit</w:t>
            </w:r>
            <w:r w:rsidR="00B027B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ies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07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 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empower</w:t>
            </w:r>
            <w:r w:rsidR="00B027B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ed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 support each other</w:t>
            </w:r>
            <w:r w:rsidR="006B07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such as, the </w:t>
            </w:r>
            <w:r w:rsidR="004F665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Covid-19 p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andemic response</w:t>
            </w:r>
            <w:r w:rsidR="000140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Pr="00092B85">
              <w:rPr>
                <w:rStyle w:val="normaltextrun"/>
                <w:color w:val="000000"/>
                <w:lang w:val="en-US"/>
              </w:rPr>
              <w:t> </w:t>
            </w:r>
          </w:p>
          <w:p w14:paraId="1ADC278F" w14:textId="77777777" w:rsidR="006B0791" w:rsidRPr="00092B85" w:rsidRDefault="006B0791" w:rsidP="006B07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lang w:val="en-US"/>
              </w:rPr>
            </w:pPr>
          </w:p>
          <w:p w14:paraId="0C9AF1C1" w14:textId="08B12F9B" w:rsidR="00F471D1" w:rsidRPr="00092B85" w:rsidRDefault="00F471D1" w:rsidP="00092B8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Understand the health promotion models and their characteristics – Making Meaning Making a Difference </w:t>
            </w:r>
            <w:hyperlink r:id="rId12">
              <w:r w:rsidR="6C292056" w:rsidRPr="00092B85">
                <w:rPr>
                  <w:rStyle w:val="normaltextrun"/>
                  <w:rFonts w:ascii="Calibri" w:hAnsi="Calibri" w:cs="Calibri"/>
                  <w:color w:val="4472C4" w:themeColor="accent1"/>
                  <w:sz w:val="22"/>
                  <w:szCs w:val="22"/>
                  <w:u w:val="single"/>
                </w:rPr>
                <w:t>Planning and teaching resources | Health &amp; PE · TKI</w:t>
              </w:r>
            </w:hyperlink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Resource produced M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inistry 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 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E</w:t>
            </w:r>
            <w:r w:rsidR="00F864C9"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ducation</w:t>
            </w:r>
            <w:r w:rsidRPr="00092B85">
              <w:rPr>
                <w:rStyle w:val="normaltextrun"/>
                <w:color w:val="000000"/>
                <w:lang w:val="en-US"/>
              </w:rPr>
              <w:t> </w:t>
            </w:r>
          </w:p>
          <w:p w14:paraId="2F39405F" w14:textId="2AEF08E7" w:rsidR="00F471D1" w:rsidRDefault="00F471D1" w:rsidP="00F471D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471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4B4C29" w14:textId="26820483" w:rsidR="00F471D1" w:rsidRDefault="00F471D1" w:rsidP="6C292056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6C292056">
              <w:rPr>
                <w:rStyle w:val="normaltextrun"/>
                <w:rFonts w:ascii="Calibri" w:hAnsi="Calibri" w:cs="Calibri"/>
                <w:sz w:val="22"/>
                <w:szCs w:val="22"/>
              </w:rPr>
              <w:t>Opportunity for assessment of</w:t>
            </w:r>
            <w:r w:rsidR="004F665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6C292056" w:rsidRPr="00D87C05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AS 2.3 Explain the effectiveness of health promotion models to address a food-related issue</w:t>
            </w:r>
          </w:p>
          <w:p w14:paraId="76D38188" w14:textId="5F4B9273" w:rsidR="00F52E79" w:rsidRDefault="00F52E79" w:rsidP="6C292056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52E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Learning collated in a Learning Journal</w:t>
            </w:r>
            <w:r w:rsidR="00FD6D9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F52E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94BB6AD" w14:textId="365F0870" w:rsidR="00F52E79" w:rsidRPr="00F52E79" w:rsidRDefault="00F52E79" w:rsidP="6C29205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ABE536" w14:textId="47EEBC02" w:rsidR="006A2163" w:rsidRDefault="0042474B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6</w:t>
            </w:r>
            <w:r w:rsidR="00F471D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weeks </w:t>
            </w:r>
          </w:p>
        </w:tc>
      </w:tr>
      <w:tr w:rsidR="006A2163" w:rsidRPr="00766259" w14:paraId="26D45FB3" w14:textId="77777777" w:rsidTr="6B620631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2BF96CCD" w14:textId="77777777" w:rsidR="005D418B" w:rsidRDefault="005D418B" w:rsidP="00687E0D"/>
          <w:p w14:paraId="2C46056B" w14:textId="2C22FCD4" w:rsidR="0078032B" w:rsidRDefault="001C43D6" w:rsidP="00687E0D">
            <w:r>
              <w:t>L</w:t>
            </w:r>
            <w:r w:rsidR="0078032B">
              <w:t>earn that a holistic understanding of our food environment requires the inclusion of diverse Māori and Pacific worldviews such as attitudes, values, beliefs, and perspectives</w:t>
            </w:r>
          </w:p>
          <w:p w14:paraId="3335E06D" w14:textId="77777777" w:rsidR="002130B0" w:rsidRPr="0003229F" w:rsidRDefault="002130B0" w:rsidP="00687E0D"/>
          <w:p w14:paraId="154AB2BD" w14:textId="554A0C5C" w:rsidR="0078032B" w:rsidRDefault="001C43D6" w:rsidP="00687E0D">
            <w:r>
              <w:t>L</w:t>
            </w:r>
            <w:r w:rsidR="0078032B" w:rsidRPr="0003229F">
              <w:t>earn about food as an expression of cultural identity</w:t>
            </w:r>
          </w:p>
          <w:p w14:paraId="042BA184" w14:textId="77777777" w:rsidR="002130B0" w:rsidRPr="0003229F" w:rsidRDefault="002130B0" w:rsidP="00687E0D"/>
          <w:p w14:paraId="6DB7C078" w14:textId="3B43D635" w:rsidR="0078032B" w:rsidRDefault="00A06AE3" w:rsidP="00687E0D">
            <w:r>
              <w:t>A</w:t>
            </w:r>
            <w:r w:rsidR="0078032B" w:rsidRPr="0003229F">
              <w:t>pply an evidence-based approach towards food information and practices</w:t>
            </w:r>
          </w:p>
          <w:p w14:paraId="36D3D460" w14:textId="77777777" w:rsidR="002130B0" w:rsidRPr="0003229F" w:rsidRDefault="002130B0" w:rsidP="00687E0D"/>
          <w:p w14:paraId="64C0BAD6" w14:textId="7D268852" w:rsidR="0078032B" w:rsidRDefault="002130B0" w:rsidP="00687E0D">
            <w:r>
              <w:t>D</w:t>
            </w:r>
            <w:r w:rsidR="0078032B" w:rsidRPr="0003229F">
              <w:t>evelop a positive and health-enhancing decision-making approach towards food</w:t>
            </w:r>
          </w:p>
          <w:p w14:paraId="490F9F76" w14:textId="77777777" w:rsidR="002130B0" w:rsidRDefault="002130B0" w:rsidP="00687E0D"/>
          <w:p w14:paraId="6182DD38" w14:textId="4A48A75A" w:rsidR="006A2163" w:rsidRDefault="003E4845" w:rsidP="00687E0D">
            <w:r>
              <w:t>I</w:t>
            </w:r>
            <w:r w:rsidR="0078032B" w:rsidRPr="0003229F">
              <w:t>ntegrate nutritional knowledge with food preparation skills by participating in food-related activities</w:t>
            </w:r>
          </w:p>
          <w:p w14:paraId="4E8286B7" w14:textId="77777777" w:rsidR="002130B0" w:rsidRDefault="002130B0" w:rsidP="00687E0D"/>
          <w:p w14:paraId="7ADBC049" w14:textId="0D9F3114" w:rsidR="0078032B" w:rsidRPr="00766259" w:rsidRDefault="008601C4" w:rsidP="0078032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Style w:val="normaltextrun"/>
                <w:rFonts w:ascii="IBM Plex Serif" w:hAnsi="IBM Plex Serif"/>
                <w:color w:val="000000"/>
                <w:sz w:val="20"/>
                <w:szCs w:val="20"/>
                <w:bdr w:val="none" w:sz="0" w:space="0" w:color="auto" w:frame="1"/>
              </w:rPr>
              <w:t>Explore the influencers of food choice and eating patterns</w:t>
            </w:r>
          </w:p>
        </w:tc>
        <w:tc>
          <w:tcPr>
            <w:tcW w:w="14738" w:type="dxa"/>
            <w:shd w:val="clear" w:color="auto" w:fill="auto"/>
          </w:tcPr>
          <w:p w14:paraId="6A7296F4" w14:textId="5FCD141A" w:rsidR="006A2163" w:rsidRPr="00F52E79" w:rsidRDefault="00F471D1" w:rsidP="6C292056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F52E79">
              <w:rPr>
                <w:rFonts w:asciiTheme="minorHAnsi" w:hAnsiTheme="minorHAnsi" w:cstheme="minorHAnsi"/>
              </w:rPr>
              <w:t>Bringing it together   </w:t>
            </w:r>
          </w:p>
          <w:p w14:paraId="5989011C" w14:textId="77777777" w:rsidR="00F471D1" w:rsidRPr="00F471D1" w:rsidRDefault="00F471D1" w:rsidP="00F471D1"/>
          <w:p w14:paraId="532F8D0F" w14:textId="30BA69B3" w:rsidR="00F471D1" w:rsidRPr="00092B85" w:rsidRDefault="00F471D1" w:rsidP="00F471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>‘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>The practice and application of skills with food that a 21</w:t>
            </w:r>
            <w:r w:rsidRP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AU"/>
              </w:rPr>
              <w:t>st</w:t>
            </w:r>
            <w:r w:rsidR="00092B8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 </w:t>
            </w:r>
            <w:r w:rsidR="00EF515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>C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>entury food</w:t>
            </w:r>
            <w:r w:rsidR="00EF515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>-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>literate person may display include critical thinking –</w:t>
            </w:r>
            <w:r w:rsidR="00D87C0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 </w:t>
            </w:r>
            <w:r w:rsidRPr="00F471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being able to think wider and deeper </w:t>
            </w:r>
            <w:r w:rsidRPr="00092B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about food and act on that knowledge’. </w:t>
            </w:r>
            <w:proofErr w:type="spellStart"/>
            <w:r w:rsidRPr="00092B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Slatter</w:t>
            </w:r>
            <w:proofErr w:type="spellEnd"/>
            <w:r w:rsidRPr="00092B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, W. (2017)</w:t>
            </w:r>
            <w:r w:rsidRPr="00092B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92B8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24351C3" w14:textId="77777777" w:rsidR="00F471D1" w:rsidRPr="00092B85" w:rsidRDefault="00F471D1" w:rsidP="00F471D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8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C5DA1A2" w14:textId="06900CA0" w:rsidR="00092B85" w:rsidRPr="00092B85" w:rsidRDefault="00092B85" w:rsidP="00092B85">
            <w:pPr>
              <w:pStyle w:val="paragraph"/>
              <w:spacing w:after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92B8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Food literacy lies at the heart of Food and Nutrition. </w:t>
            </w:r>
            <w:r w:rsidR="00D87C0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It</w:t>
            </w:r>
            <w:r w:rsidRPr="00092B8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encompasses a set of valuable knowledge, attributes</w:t>
            </w:r>
            <w:r w:rsidR="00D87C0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,</w:t>
            </w:r>
            <w:r w:rsidRPr="00092B8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and life skills which supports all dimensions of health and wellbeing. The five aspects of food literacy are: </w:t>
            </w:r>
          </w:p>
          <w:p w14:paraId="6F0E90A7" w14:textId="77777777" w:rsidR="00092B85" w:rsidRPr="00092B85" w:rsidRDefault="00092B85" w:rsidP="6B620631">
            <w:pPr>
              <w:pStyle w:val="paragraph"/>
              <w:numPr>
                <w:ilvl w:val="0"/>
                <w:numId w:val="30"/>
              </w:numPr>
              <w:spacing w:after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6B62063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understanding food and nutritional knowledge</w:t>
            </w:r>
          </w:p>
          <w:p w14:paraId="1CD0377A" w14:textId="77777777" w:rsidR="00092B85" w:rsidRPr="00092B85" w:rsidRDefault="00092B85" w:rsidP="6B620631">
            <w:pPr>
              <w:pStyle w:val="paragraph"/>
              <w:numPr>
                <w:ilvl w:val="0"/>
                <w:numId w:val="30"/>
              </w:numPr>
              <w:spacing w:after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6B62063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applying practical food skills to prepare health-enhancing meals</w:t>
            </w:r>
          </w:p>
          <w:p w14:paraId="7AED10DE" w14:textId="77777777" w:rsidR="00092B85" w:rsidRPr="00092B85" w:rsidRDefault="00092B85" w:rsidP="6B620631">
            <w:pPr>
              <w:pStyle w:val="paragraph"/>
              <w:numPr>
                <w:ilvl w:val="0"/>
                <w:numId w:val="30"/>
              </w:numPr>
              <w:spacing w:after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6B62063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taking an evidence-based approach towards food information</w:t>
            </w:r>
          </w:p>
          <w:p w14:paraId="73AD14C6" w14:textId="77777777" w:rsidR="00092B85" w:rsidRPr="00092B85" w:rsidRDefault="00092B85" w:rsidP="6B620631">
            <w:pPr>
              <w:pStyle w:val="paragraph"/>
              <w:numPr>
                <w:ilvl w:val="0"/>
                <w:numId w:val="30"/>
              </w:numPr>
              <w:spacing w:after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6B62063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understanding the factors that influence food choice</w:t>
            </w:r>
          </w:p>
          <w:p w14:paraId="5202E125" w14:textId="77777777" w:rsidR="00092B85" w:rsidRPr="00092B85" w:rsidRDefault="00092B85" w:rsidP="6B620631">
            <w:pPr>
              <w:pStyle w:val="paragraph"/>
              <w:numPr>
                <w:ilvl w:val="0"/>
                <w:numId w:val="30"/>
              </w:numPr>
              <w:spacing w:after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6B62063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appreciating and understanding the cultural importance of food. </w:t>
            </w:r>
          </w:p>
          <w:p w14:paraId="5222F064" w14:textId="41AA7BE6" w:rsidR="00F471D1" w:rsidRPr="00092B85" w:rsidRDefault="00092B85" w:rsidP="00092B8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92B8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In an Aotearoa New Zealand context, Māori and Pacific worldviews need to be considered and included in the learning of all five aspects of </w:t>
            </w:r>
            <w:r w:rsidR="006E7CD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</w:t>
            </w:r>
            <w:r w:rsidRPr="00092B8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ood literacy.</w:t>
            </w:r>
          </w:p>
          <w:p w14:paraId="404C96A2" w14:textId="77777777" w:rsidR="00092B85" w:rsidRPr="00092B85" w:rsidRDefault="00092B85" w:rsidP="00092B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32B31" w14:textId="5D39E2C3" w:rsidR="00F864C9" w:rsidRPr="00092B85" w:rsidRDefault="00F864C9" w:rsidP="00F471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6B620631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Activities</w:t>
            </w:r>
          </w:p>
          <w:p w14:paraId="22F3BBEA" w14:textId="4E171575" w:rsidR="6B620631" w:rsidRDefault="6B620631" w:rsidP="6B620631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 xml:space="preserve">The work related to this standard should naturally fall out of the learning completed throughout the year, such as through food practicals.  Developing understanding about </w:t>
            </w:r>
            <w:proofErr w:type="gramStart"/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>the  Determinants</w:t>
            </w:r>
            <w:proofErr w:type="gramEnd"/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 xml:space="preserve"> of Health can also  be woven through this unit. </w:t>
            </w:r>
          </w:p>
          <w:p w14:paraId="5785C2DB" w14:textId="307BD2A4" w:rsidR="6B620631" w:rsidRDefault="6B620631" w:rsidP="6B620631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  <w:r>
              <w:br/>
            </w:r>
          </w:p>
          <w:p w14:paraId="78087107" w14:textId="41D6DF2E" w:rsidR="6B620631" w:rsidRDefault="6B620631" w:rsidP="6B620631">
            <w:pPr>
              <w:pStyle w:val="paragraph"/>
              <w:spacing w:before="0" w:beforeAutospacing="0" w:after="0" w:afterAutospacing="0"/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 xml:space="preserve">As a stimulus to promote critical thinking, activities could include: </w:t>
            </w:r>
          </w:p>
          <w:p w14:paraId="5135C770" w14:textId="4FB34D28" w:rsidR="6B620631" w:rsidRDefault="6B620631" w:rsidP="6B6206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>learning about seasonal foods</w:t>
            </w:r>
          </w:p>
          <w:p w14:paraId="4546FD55" w14:textId="07D4F4D5" w:rsidR="6B620631" w:rsidRDefault="6B620631" w:rsidP="6B6206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>how to reduce food costs, for example by comparing the price of in season and out of season produce</w:t>
            </w:r>
          </w:p>
          <w:p w14:paraId="3415D284" w14:textId="2380B0E7" w:rsidR="6B620631" w:rsidRDefault="6B620631" w:rsidP="6B6206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 xml:space="preserve">nutrient rich foods </w:t>
            </w:r>
          </w:p>
          <w:p w14:paraId="4BD6C210" w14:textId="20796348" w:rsidR="6B620631" w:rsidRDefault="6B620631" w:rsidP="6B6206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 xml:space="preserve">comparing the nutrient value of fresh, </w:t>
            </w:r>
            <w:proofErr w:type="gramStart"/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>frozen</w:t>
            </w:r>
            <w:proofErr w:type="gramEnd"/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 xml:space="preserve"> and canned produce</w:t>
            </w:r>
          </w:p>
          <w:p w14:paraId="720BFA22" w14:textId="71EFC014" w:rsidR="6B620631" w:rsidRDefault="6B620631" w:rsidP="6B6206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>growing food compared to purchasing food</w:t>
            </w:r>
          </w:p>
          <w:p w14:paraId="72BB1603" w14:textId="098F093D" w:rsidR="6B620631" w:rsidRDefault="6B620631" w:rsidP="6B6206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  <w:r w:rsidRPr="6B620631"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  <w:t>the cost of produce across a variety of retail outlets.</w:t>
            </w:r>
          </w:p>
          <w:p w14:paraId="11AF282F" w14:textId="0F683850" w:rsidR="6B620631" w:rsidRDefault="6B620631" w:rsidP="6B620631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E6C8454" w14:textId="77777777" w:rsidR="00F471D1" w:rsidRDefault="00F471D1" w:rsidP="00F471D1"/>
          <w:p w14:paraId="338E7F63" w14:textId="7BF68DF2" w:rsidR="00F471D1" w:rsidRPr="0024768C" w:rsidRDefault="00F471D1" w:rsidP="6C292056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C292056">
              <w:rPr>
                <w:rStyle w:val="normaltextrun"/>
                <w:rFonts w:ascii="Calibri" w:hAnsi="Calibri" w:cs="Calibri"/>
                <w:sz w:val="22"/>
                <w:szCs w:val="22"/>
              </w:rPr>
              <w:t>Opportunity for assessment of</w:t>
            </w:r>
            <w:r w:rsidR="0024768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6C292056" w:rsidRPr="00A315B9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AS 2.4 Explain aspects of food literacy to support health-enhancing food choices</w:t>
            </w:r>
          </w:p>
          <w:p w14:paraId="5B6C9E83" w14:textId="49160FE4" w:rsidR="00F471D1" w:rsidRPr="00F471D1" w:rsidRDefault="00F471D1" w:rsidP="00F471D1"/>
        </w:tc>
        <w:tc>
          <w:tcPr>
            <w:tcW w:w="1984" w:type="dxa"/>
          </w:tcPr>
          <w:p w14:paraId="7109FA4D" w14:textId="7CBA31B4" w:rsidR="006A2163" w:rsidRDefault="00F471D1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6 weeks </w:t>
            </w:r>
          </w:p>
        </w:tc>
      </w:tr>
    </w:tbl>
    <w:p w14:paraId="2CDA115B" w14:textId="77777777" w:rsidR="00766259" w:rsidRPr="00766259" w:rsidRDefault="00766259" w:rsidP="00766259"/>
    <w:sectPr w:rsidR="00766259" w:rsidRPr="00766259" w:rsidSect="00971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0878" w14:textId="77777777" w:rsidR="00FE75CE" w:rsidRDefault="00FE75CE" w:rsidP="002D780C">
      <w:pPr>
        <w:spacing w:after="0" w:line="240" w:lineRule="auto"/>
      </w:pPr>
      <w:r>
        <w:separator/>
      </w:r>
    </w:p>
  </w:endnote>
  <w:endnote w:type="continuationSeparator" w:id="0">
    <w:p w14:paraId="7B2E4769" w14:textId="77777777" w:rsidR="00FE75CE" w:rsidRDefault="00FE75CE" w:rsidP="002D780C">
      <w:pPr>
        <w:spacing w:after="0" w:line="240" w:lineRule="auto"/>
      </w:pPr>
      <w:r>
        <w:continuationSeparator/>
      </w:r>
    </w:p>
  </w:endnote>
  <w:endnote w:type="continuationNotice" w:id="1">
    <w:p w14:paraId="1480A414" w14:textId="77777777" w:rsidR="00FE75CE" w:rsidRDefault="00FE7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95D" w14:textId="3D7AB241" w:rsidR="00F11E99" w:rsidRDefault="00850C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7154B7F" wp14:editId="2A4C83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5" name="Text Box 5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81E1C" w14:textId="56B805B7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rto="http://schemas.microsoft.com/office/word/2006/arto">
          <w:pict>
            <v:shapetype id="_x0000_t202" coordsize="21600,21600" o:spt="202" path="m,l,21600r21600,l21600,xe" w14:anchorId="27154B7F">
              <v:stroke joinstyle="miter"/>
              <v:path gradientshapeok="t" o:connecttype="rect"/>
            </v:shapetype>
            <v:shape id="Text Box 5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850C8A" w:rsidR="00850C8A" w:rsidRDefault="00850C8A" w14:paraId="51481E1C" w14:textId="56B805B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37533CC4" w:rsidR="009E40D2" w:rsidRPr="009E40D2" w:rsidRDefault="009E40D2" w:rsidP="00E53B69">
    <w:pPr>
      <w:pStyle w:val="Footer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F5" w14:textId="116AD04B" w:rsidR="00F11E99" w:rsidRDefault="00850C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9C5945A" wp14:editId="6339C9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4" name="Text Box 4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E5C57" w14:textId="65993F68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rto="http://schemas.microsoft.com/office/word/2006/arto">
          <w:pict>
            <v:shapetype id="_x0000_t202" coordsize="21600,21600" o:spt="202" path="m,l,21600r21600,l21600,xe" w14:anchorId="49C5945A">
              <v:stroke joinstyle="miter"/>
              <v:path gradientshapeok="t" o:connecttype="rect"/>
            </v:shapetype>
            <v:shape id="Text Box 4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850C8A" w:rsidR="00850C8A" w:rsidRDefault="00850C8A" w14:paraId="382E5C57" w14:textId="65993F68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83B" w14:textId="77777777" w:rsidR="00FE75CE" w:rsidRDefault="00FE75CE" w:rsidP="002D780C">
      <w:pPr>
        <w:spacing w:after="0" w:line="240" w:lineRule="auto"/>
      </w:pPr>
      <w:r>
        <w:separator/>
      </w:r>
    </w:p>
  </w:footnote>
  <w:footnote w:type="continuationSeparator" w:id="0">
    <w:p w14:paraId="5B2B7336" w14:textId="77777777" w:rsidR="00FE75CE" w:rsidRDefault="00FE75CE" w:rsidP="002D780C">
      <w:pPr>
        <w:spacing w:after="0" w:line="240" w:lineRule="auto"/>
      </w:pPr>
      <w:r>
        <w:continuationSeparator/>
      </w:r>
    </w:p>
  </w:footnote>
  <w:footnote w:type="continuationNotice" w:id="1">
    <w:p w14:paraId="05DFD705" w14:textId="77777777" w:rsidR="00FE75CE" w:rsidRDefault="00FE7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0BA0C9B1" w:rsidR="00F11E99" w:rsidRDefault="00E53B69">
    <w:pPr>
      <w:pStyle w:val="Header"/>
    </w:pPr>
    <w:r>
      <w:rPr>
        <w:noProof/>
      </w:rPr>
      <w:pict w14:anchorId="35AB6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794938" o:spid="_x0000_s1026" type="#_x0000_t136" style="position:absolute;margin-left:0;margin-top:0;width:902.95pt;height:142.55pt;rotation:315;z-index:-2516541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  <w:r w:rsidR="00850C8A"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B7525F5" wp14:editId="010113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2" name="Text Box 2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10FDD" w14:textId="08DA7578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rto="http://schemas.microsoft.com/office/word/2006/arto">
          <w:pict>
            <v:shapetype id="_x0000_t202" coordsize="21600,21600" o:spt="202" path="m,l,21600r21600,l21600,xe" w14:anchorId="4B7525F5">
              <v:stroke joinstyle="miter"/>
              <v:path gradientshapeok="t" o:connecttype="rect"/>
            </v:shapetype>
            <v:shape id="Text Box 2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850C8A" w:rsidR="00850C8A" w:rsidRDefault="00850C8A" w14:paraId="68510FDD" w14:textId="08DA7578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82" w14:textId="7BFCEE76" w:rsidR="00B31AF9" w:rsidRDefault="00E53B69" w:rsidP="00E53B69">
    <w:pPr>
      <w:pStyle w:val="Header"/>
    </w:pPr>
    <w:r>
      <w:rPr>
        <w:noProof/>
      </w:rPr>
      <w:pict w14:anchorId="4D09C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794939" o:spid="_x0000_s1027" type="#_x0000_t136" style="position:absolute;margin-left:0;margin-top:0;width:902.95pt;height:142.55pt;rotation:315;z-index:-2516520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  <w:p w14:paraId="2AF9E856" w14:textId="78DB8FA8" w:rsidR="009A3410" w:rsidRDefault="009A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37CD9E1B" w:rsidR="00F11E99" w:rsidRDefault="00E53B69">
    <w:pPr>
      <w:pStyle w:val="Header"/>
    </w:pPr>
    <w:r>
      <w:rPr>
        <w:noProof/>
      </w:rPr>
      <w:pict w14:anchorId="78823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794937" o:spid="_x0000_s1025" type="#_x0000_t136" style="position:absolute;margin-left:0;margin-top:0;width:902.95pt;height:142.55pt;rotation:315;z-index:-25165618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  <w:r w:rsidR="00850C8A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0303FC" wp14:editId="5CC22B8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1" name="Text Box 1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086E2" w14:textId="3FF374DA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rto="http://schemas.microsoft.com/office/word/2006/arto">
          <w:pict>
            <v:shapetype id="_x0000_t202" coordsize="21600,21600" o:spt="202" path="m,l,21600r21600,l21600,xe" w14:anchorId="510303FC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textbox style="mso-fit-shape-to-text:t" inset="0,0,0,0">
                <w:txbxContent>
                  <w:p w:rsidRPr="00850C8A" w:rsidR="00850C8A" w:rsidRDefault="00850C8A" w14:paraId="687086E2" w14:textId="3FF374DA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HgPz7W1BXMqD7" id="LhhS4dkV"/>
    <int:WordHash hashCode="kByidkXaRxGvMx" id="yvf0KSVe"/>
  </int:Manifest>
  <int:Observations>
    <int:Content id="LhhS4dkV">
      <int:Rejection type="LegacyProofing"/>
    </int:Content>
    <int:Content id="yvf0KS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B31"/>
    <w:multiLevelType w:val="hybridMultilevel"/>
    <w:tmpl w:val="6890B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8067BBE"/>
    <w:multiLevelType w:val="hybridMultilevel"/>
    <w:tmpl w:val="FF5E7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9EC4BFF"/>
    <w:multiLevelType w:val="multilevel"/>
    <w:tmpl w:val="5F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F8FC0"/>
    <w:multiLevelType w:val="hybridMultilevel"/>
    <w:tmpl w:val="FFFFFFFF"/>
    <w:lvl w:ilvl="0" w:tplc="A274A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23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CB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81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E7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03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6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E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0DB3"/>
    <w:multiLevelType w:val="hybridMultilevel"/>
    <w:tmpl w:val="D884C0E4"/>
    <w:lvl w:ilvl="0" w:tplc="DF902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5991"/>
    <w:multiLevelType w:val="multilevel"/>
    <w:tmpl w:val="73806F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A1A84"/>
    <w:multiLevelType w:val="multilevel"/>
    <w:tmpl w:val="E0C6967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6A35"/>
    <w:multiLevelType w:val="hybridMultilevel"/>
    <w:tmpl w:val="90BC0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4FF"/>
    <w:multiLevelType w:val="hybridMultilevel"/>
    <w:tmpl w:val="D256E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D5D98"/>
    <w:multiLevelType w:val="hybridMultilevel"/>
    <w:tmpl w:val="98347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6EE0"/>
    <w:multiLevelType w:val="hybridMultilevel"/>
    <w:tmpl w:val="9C643C1A"/>
    <w:lvl w:ilvl="0" w:tplc="357A0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07C33"/>
    <w:multiLevelType w:val="hybridMultilevel"/>
    <w:tmpl w:val="0FE8A13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41E2FC8"/>
    <w:multiLevelType w:val="hybridMultilevel"/>
    <w:tmpl w:val="97ECA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5E2C"/>
    <w:multiLevelType w:val="multilevel"/>
    <w:tmpl w:val="2AA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5" w15:restartNumberingAfterBreak="0">
    <w:nsid w:val="519B6574"/>
    <w:multiLevelType w:val="multilevel"/>
    <w:tmpl w:val="D53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12866"/>
    <w:multiLevelType w:val="multilevel"/>
    <w:tmpl w:val="29DA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5113"/>
    <w:multiLevelType w:val="hybridMultilevel"/>
    <w:tmpl w:val="0DAA9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D022F"/>
    <w:multiLevelType w:val="multilevel"/>
    <w:tmpl w:val="73806F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3F26AA"/>
    <w:multiLevelType w:val="hybridMultilevel"/>
    <w:tmpl w:val="FF448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36F99"/>
    <w:multiLevelType w:val="multilevel"/>
    <w:tmpl w:val="13B6AE5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992E11"/>
    <w:multiLevelType w:val="hybridMultilevel"/>
    <w:tmpl w:val="164E1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46084"/>
    <w:multiLevelType w:val="multilevel"/>
    <w:tmpl w:val="E3B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53AD3"/>
    <w:multiLevelType w:val="multilevel"/>
    <w:tmpl w:val="E0C69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8E121E"/>
    <w:multiLevelType w:val="multilevel"/>
    <w:tmpl w:val="73806F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2"/>
  </w:num>
  <w:num w:numId="5">
    <w:abstractNumId w:val="3"/>
  </w:num>
  <w:num w:numId="6">
    <w:abstractNumId w:val="24"/>
  </w:num>
  <w:num w:numId="7">
    <w:abstractNumId w:val="20"/>
  </w:num>
  <w:num w:numId="8">
    <w:abstractNumId w:val="9"/>
  </w:num>
  <w:num w:numId="9">
    <w:abstractNumId w:val="13"/>
  </w:num>
  <w:num w:numId="10">
    <w:abstractNumId w:val="27"/>
  </w:num>
  <w:num w:numId="11">
    <w:abstractNumId w:val="35"/>
  </w:num>
  <w:num w:numId="12">
    <w:abstractNumId w:val="11"/>
  </w:num>
  <w:num w:numId="13">
    <w:abstractNumId w:val="22"/>
  </w:num>
  <w:num w:numId="14">
    <w:abstractNumId w:val="21"/>
  </w:num>
  <w:num w:numId="15">
    <w:abstractNumId w:val="29"/>
  </w:num>
  <w:num w:numId="16">
    <w:abstractNumId w:val="10"/>
  </w:num>
  <w:num w:numId="17">
    <w:abstractNumId w:val="6"/>
  </w:num>
  <w:num w:numId="18">
    <w:abstractNumId w:val="15"/>
  </w:num>
  <w:num w:numId="19">
    <w:abstractNumId w:val="32"/>
  </w:num>
  <w:num w:numId="20">
    <w:abstractNumId w:val="26"/>
  </w:num>
  <w:num w:numId="21">
    <w:abstractNumId w:val="23"/>
  </w:num>
  <w:num w:numId="22">
    <w:abstractNumId w:val="25"/>
  </w:num>
  <w:num w:numId="23">
    <w:abstractNumId w:val="4"/>
  </w:num>
  <w:num w:numId="24">
    <w:abstractNumId w:val="34"/>
  </w:num>
  <w:num w:numId="25">
    <w:abstractNumId w:val="16"/>
  </w:num>
  <w:num w:numId="26">
    <w:abstractNumId w:val="37"/>
  </w:num>
  <w:num w:numId="27">
    <w:abstractNumId w:val="30"/>
  </w:num>
  <w:num w:numId="28">
    <w:abstractNumId w:val="7"/>
  </w:num>
  <w:num w:numId="29">
    <w:abstractNumId w:val="36"/>
  </w:num>
  <w:num w:numId="30">
    <w:abstractNumId w:val="8"/>
  </w:num>
  <w:num w:numId="31">
    <w:abstractNumId w:val="31"/>
  </w:num>
  <w:num w:numId="32">
    <w:abstractNumId w:val="17"/>
  </w:num>
  <w:num w:numId="33">
    <w:abstractNumId w:val="18"/>
  </w:num>
  <w:num w:numId="34">
    <w:abstractNumId w:val="2"/>
  </w:num>
  <w:num w:numId="35">
    <w:abstractNumId w:val="33"/>
  </w:num>
  <w:num w:numId="36">
    <w:abstractNumId w:val="0"/>
  </w:num>
  <w:num w:numId="37">
    <w:abstractNumId w:val="28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140D1"/>
    <w:rsid w:val="00014CCC"/>
    <w:rsid w:val="00016B8F"/>
    <w:rsid w:val="00017AB4"/>
    <w:rsid w:val="00020BEC"/>
    <w:rsid w:val="00021F81"/>
    <w:rsid w:val="00022F98"/>
    <w:rsid w:val="00031482"/>
    <w:rsid w:val="000329DF"/>
    <w:rsid w:val="0003473A"/>
    <w:rsid w:val="00034D8E"/>
    <w:rsid w:val="00041199"/>
    <w:rsid w:val="0004119B"/>
    <w:rsid w:val="00044017"/>
    <w:rsid w:val="00045D10"/>
    <w:rsid w:val="0005043C"/>
    <w:rsid w:val="000507E3"/>
    <w:rsid w:val="00051508"/>
    <w:rsid w:val="00051B95"/>
    <w:rsid w:val="000571A5"/>
    <w:rsid w:val="0006151A"/>
    <w:rsid w:val="00071F28"/>
    <w:rsid w:val="000836CA"/>
    <w:rsid w:val="00084BE8"/>
    <w:rsid w:val="00092B85"/>
    <w:rsid w:val="000A58AE"/>
    <w:rsid w:val="000B5D4E"/>
    <w:rsid w:val="000C2150"/>
    <w:rsid w:val="000C34F1"/>
    <w:rsid w:val="000D1F34"/>
    <w:rsid w:val="000E5E39"/>
    <w:rsid w:val="000F052A"/>
    <w:rsid w:val="001059C0"/>
    <w:rsid w:val="00111B8F"/>
    <w:rsid w:val="00116034"/>
    <w:rsid w:val="00141206"/>
    <w:rsid w:val="001532CA"/>
    <w:rsid w:val="001553D4"/>
    <w:rsid w:val="00165587"/>
    <w:rsid w:val="00173FC0"/>
    <w:rsid w:val="00186269"/>
    <w:rsid w:val="00191C4E"/>
    <w:rsid w:val="001A099A"/>
    <w:rsid w:val="001A6AA4"/>
    <w:rsid w:val="001C3C45"/>
    <w:rsid w:val="001C43D6"/>
    <w:rsid w:val="001F1CA5"/>
    <w:rsid w:val="00205A61"/>
    <w:rsid w:val="002130B0"/>
    <w:rsid w:val="00217B70"/>
    <w:rsid w:val="002205FC"/>
    <w:rsid w:val="002212A3"/>
    <w:rsid w:val="002235E5"/>
    <w:rsid w:val="0022560F"/>
    <w:rsid w:val="00233F15"/>
    <w:rsid w:val="002374DB"/>
    <w:rsid w:val="0024768C"/>
    <w:rsid w:val="00250217"/>
    <w:rsid w:val="00272335"/>
    <w:rsid w:val="00276202"/>
    <w:rsid w:val="002867E9"/>
    <w:rsid w:val="0029410B"/>
    <w:rsid w:val="002A0BCB"/>
    <w:rsid w:val="002A7DDA"/>
    <w:rsid w:val="002B1B39"/>
    <w:rsid w:val="002C1B6D"/>
    <w:rsid w:val="002D780C"/>
    <w:rsid w:val="002F656B"/>
    <w:rsid w:val="0030104A"/>
    <w:rsid w:val="00310CA2"/>
    <w:rsid w:val="00333FED"/>
    <w:rsid w:val="00336446"/>
    <w:rsid w:val="00337D7A"/>
    <w:rsid w:val="00342817"/>
    <w:rsid w:val="0038366D"/>
    <w:rsid w:val="00387082"/>
    <w:rsid w:val="0039173A"/>
    <w:rsid w:val="003E2E84"/>
    <w:rsid w:val="003E3784"/>
    <w:rsid w:val="003E3AF3"/>
    <w:rsid w:val="003E4845"/>
    <w:rsid w:val="003E50A0"/>
    <w:rsid w:val="003E56AA"/>
    <w:rsid w:val="003E60BD"/>
    <w:rsid w:val="003F1C76"/>
    <w:rsid w:val="003F3048"/>
    <w:rsid w:val="00404FD0"/>
    <w:rsid w:val="00406FEE"/>
    <w:rsid w:val="00412189"/>
    <w:rsid w:val="0041708B"/>
    <w:rsid w:val="0042474B"/>
    <w:rsid w:val="00425D51"/>
    <w:rsid w:val="004320A7"/>
    <w:rsid w:val="0043232E"/>
    <w:rsid w:val="00436801"/>
    <w:rsid w:val="004512F1"/>
    <w:rsid w:val="00455CF8"/>
    <w:rsid w:val="00471BAB"/>
    <w:rsid w:val="00472515"/>
    <w:rsid w:val="0047511D"/>
    <w:rsid w:val="00480CE8"/>
    <w:rsid w:val="00486D6F"/>
    <w:rsid w:val="00493BA7"/>
    <w:rsid w:val="004A08AC"/>
    <w:rsid w:val="004A4F3F"/>
    <w:rsid w:val="004B01E6"/>
    <w:rsid w:val="004C49BF"/>
    <w:rsid w:val="004C775D"/>
    <w:rsid w:val="004D68D4"/>
    <w:rsid w:val="004E3B74"/>
    <w:rsid w:val="004E536A"/>
    <w:rsid w:val="004E61E4"/>
    <w:rsid w:val="004E6A81"/>
    <w:rsid w:val="004F0272"/>
    <w:rsid w:val="004F36B9"/>
    <w:rsid w:val="004F40BD"/>
    <w:rsid w:val="004F6656"/>
    <w:rsid w:val="00513A3C"/>
    <w:rsid w:val="00527A6F"/>
    <w:rsid w:val="005447AC"/>
    <w:rsid w:val="00546198"/>
    <w:rsid w:val="005467F0"/>
    <w:rsid w:val="00554BD4"/>
    <w:rsid w:val="005563B8"/>
    <w:rsid w:val="0055708A"/>
    <w:rsid w:val="00565028"/>
    <w:rsid w:val="00580331"/>
    <w:rsid w:val="00580635"/>
    <w:rsid w:val="005839DC"/>
    <w:rsid w:val="005974AF"/>
    <w:rsid w:val="005A0B78"/>
    <w:rsid w:val="005A2549"/>
    <w:rsid w:val="005A65C4"/>
    <w:rsid w:val="005D0D93"/>
    <w:rsid w:val="005D15C9"/>
    <w:rsid w:val="005D418B"/>
    <w:rsid w:val="005D4291"/>
    <w:rsid w:val="005D5418"/>
    <w:rsid w:val="005F366E"/>
    <w:rsid w:val="00604BCA"/>
    <w:rsid w:val="0060523C"/>
    <w:rsid w:val="00606340"/>
    <w:rsid w:val="0061161A"/>
    <w:rsid w:val="00614A7B"/>
    <w:rsid w:val="0061748C"/>
    <w:rsid w:val="00624A52"/>
    <w:rsid w:val="006256AD"/>
    <w:rsid w:val="00626370"/>
    <w:rsid w:val="0063092C"/>
    <w:rsid w:val="00630B74"/>
    <w:rsid w:val="0067489D"/>
    <w:rsid w:val="006765C8"/>
    <w:rsid w:val="00683E8E"/>
    <w:rsid w:val="00686B69"/>
    <w:rsid w:val="00687E0D"/>
    <w:rsid w:val="006A0F79"/>
    <w:rsid w:val="006A205D"/>
    <w:rsid w:val="006A2163"/>
    <w:rsid w:val="006A5D4A"/>
    <w:rsid w:val="006B071D"/>
    <w:rsid w:val="006B0791"/>
    <w:rsid w:val="006B7354"/>
    <w:rsid w:val="006B7C0D"/>
    <w:rsid w:val="006C29F4"/>
    <w:rsid w:val="006D2A2F"/>
    <w:rsid w:val="006D502D"/>
    <w:rsid w:val="006D637B"/>
    <w:rsid w:val="006D63D4"/>
    <w:rsid w:val="006E5036"/>
    <w:rsid w:val="006E7CDA"/>
    <w:rsid w:val="006F231F"/>
    <w:rsid w:val="006F29BC"/>
    <w:rsid w:val="00713CA8"/>
    <w:rsid w:val="00717D1E"/>
    <w:rsid w:val="007469C4"/>
    <w:rsid w:val="00754FDD"/>
    <w:rsid w:val="007568F1"/>
    <w:rsid w:val="00766259"/>
    <w:rsid w:val="0076776C"/>
    <w:rsid w:val="007735FB"/>
    <w:rsid w:val="0078032B"/>
    <w:rsid w:val="00795D28"/>
    <w:rsid w:val="007A3A66"/>
    <w:rsid w:val="007B65BD"/>
    <w:rsid w:val="007D7F80"/>
    <w:rsid w:val="007E168D"/>
    <w:rsid w:val="007E4833"/>
    <w:rsid w:val="007E7563"/>
    <w:rsid w:val="007F3475"/>
    <w:rsid w:val="00803945"/>
    <w:rsid w:val="008048C9"/>
    <w:rsid w:val="0081124E"/>
    <w:rsid w:val="00824F8D"/>
    <w:rsid w:val="00826CC0"/>
    <w:rsid w:val="0083234A"/>
    <w:rsid w:val="0084258D"/>
    <w:rsid w:val="0085039B"/>
    <w:rsid w:val="00850C8A"/>
    <w:rsid w:val="008601C4"/>
    <w:rsid w:val="00861186"/>
    <w:rsid w:val="008638F0"/>
    <w:rsid w:val="00875E74"/>
    <w:rsid w:val="008937C9"/>
    <w:rsid w:val="0089602F"/>
    <w:rsid w:val="008A3013"/>
    <w:rsid w:val="008A67C7"/>
    <w:rsid w:val="008B22FC"/>
    <w:rsid w:val="008C07A9"/>
    <w:rsid w:val="008C2E1E"/>
    <w:rsid w:val="008C6A27"/>
    <w:rsid w:val="008D1011"/>
    <w:rsid w:val="008D53AF"/>
    <w:rsid w:val="008D6ED6"/>
    <w:rsid w:val="008E05ED"/>
    <w:rsid w:val="008E62A5"/>
    <w:rsid w:val="008F1A2B"/>
    <w:rsid w:val="008F66A9"/>
    <w:rsid w:val="008F6BA5"/>
    <w:rsid w:val="00904D52"/>
    <w:rsid w:val="00911DEC"/>
    <w:rsid w:val="00916719"/>
    <w:rsid w:val="009205B5"/>
    <w:rsid w:val="00923D8E"/>
    <w:rsid w:val="00925C90"/>
    <w:rsid w:val="0093377D"/>
    <w:rsid w:val="00946774"/>
    <w:rsid w:val="00946814"/>
    <w:rsid w:val="00954F9C"/>
    <w:rsid w:val="0096085D"/>
    <w:rsid w:val="009629E0"/>
    <w:rsid w:val="00971E64"/>
    <w:rsid w:val="009737D4"/>
    <w:rsid w:val="009772E6"/>
    <w:rsid w:val="00980168"/>
    <w:rsid w:val="00985BE0"/>
    <w:rsid w:val="0098775A"/>
    <w:rsid w:val="009955F5"/>
    <w:rsid w:val="0099649A"/>
    <w:rsid w:val="00997ADF"/>
    <w:rsid w:val="009A3410"/>
    <w:rsid w:val="009A78A6"/>
    <w:rsid w:val="009A7B21"/>
    <w:rsid w:val="009A7C95"/>
    <w:rsid w:val="009B17B8"/>
    <w:rsid w:val="009C1DD3"/>
    <w:rsid w:val="009C4D47"/>
    <w:rsid w:val="009D1871"/>
    <w:rsid w:val="009D483B"/>
    <w:rsid w:val="009D750C"/>
    <w:rsid w:val="009E0DA0"/>
    <w:rsid w:val="009E40D2"/>
    <w:rsid w:val="009E74C9"/>
    <w:rsid w:val="009F1B42"/>
    <w:rsid w:val="009F1F5F"/>
    <w:rsid w:val="00A02B0C"/>
    <w:rsid w:val="00A03D7A"/>
    <w:rsid w:val="00A05D0B"/>
    <w:rsid w:val="00A06AE3"/>
    <w:rsid w:val="00A1706B"/>
    <w:rsid w:val="00A315B9"/>
    <w:rsid w:val="00A355CE"/>
    <w:rsid w:val="00A40A46"/>
    <w:rsid w:val="00A45A37"/>
    <w:rsid w:val="00A47413"/>
    <w:rsid w:val="00A53AEC"/>
    <w:rsid w:val="00A55A5B"/>
    <w:rsid w:val="00A56435"/>
    <w:rsid w:val="00A654BF"/>
    <w:rsid w:val="00A675F9"/>
    <w:rsid w:val="00A86CE5"/>
    <w:rsid w:val="00A94F59"/>
    <w:rsid w:val="00AA0135"/>
    <w:rsid w:val="00AB65A3"/>
    <w:rsid w:val="00AD1E1A"/>
    <w:rsid w:val="00AD7135"/>
    <w:rsid w:val="00AD71AD"/>
    <w:rsid w:val="00AD7575"/>
    <w:rsid w:val="00AE11F3"/>
    <w:rsid w:val="00AE3BDC"/>
    <w:rsid w:val="00AE430A"/>
    <w:rsid w:val="00AE4BE6"/>
    <w:rsid w:val="00AE64D8"/>
    <w:rsid w:val="00AF19F5"/>
    <w:rsid w:val="00AF661E"/>
    <w:rsid w:val="00AF6F54"/>
    <w:rsid w:val="00B027B5"/>
    <w:rsid w:val="00B06FCB"/>
    <w:rsid w:val="00B16530"/>
    <w:rsid w:val="00B2759C"/>
    <w:rsid w:val="00B31AF9"/>
    <w:rsid w:val="00B34966"/>
    <w:rsid w:val="00B41116"/>
    <w:rsid w:val="00B61009"/>
    <w:rsid w:val="00B75EE9"/>
    <w:rsid w:val="00B81DEE"/>
    <w:rsid w:val="00BA051F"/>
    <w:rsid w:val="00BA1599"/>
    <w:rsid w:val="00BC0D54"/>
    <w:rsid w:val="00BC65AB"/>
    <w:rsid w:val="00BC6DDC"/>
    <w:rsid w:val="00BC7ED4"/>
    <w:rsid w:val="00BD66FC"/>
    <w:rsid w:val="00BE186D"/>
    <w:rsid w:val="00BE4241"/>
    <w:rsid w:val="00C04C1C"/>
    <w:rsid w:val="00C14AAB"/>
    <w:rsid w:val="00C23068"/>
    <w:rsid w:val="00C35799"/>
    <w:rsid w:val="00C4186E"/>
    <w:rsid w:val="00C46E41"/>
    <w:rsid w:val="00C54F6E"/>
    <w:rsid w:val="00C5632F"/>
    <w:rsid w:val="00C8210B"/>
    <w:rsid w:val="00CA45B0"/>
    <w:rsid w:val="00CB4FFE"/>
    <w:rsid w:val="00CC1198"/>
    <w:rsid w:val="00CC62B2"/>
    <w:rsid w:val="00CC7CEB"/>
    <w:rsid w:val="00CD2CFB"/>
    <w:rsid w:val="00CE4C7B"/>
    <w:rsid w:val="00CF6E8D"/>
    <w:rsid w:val="00D01CA1"/>
    <w:rsid w:val="00D039FA"/>
    <w:rsid w:val="00D117D4"/>
    <w:rsid w:val="00D129FE"/>
    <w:rsid w:val="00D168FC"/>
    <w:rsid w:val="00D20843"/>
    <w:rsid w:val="00D24F38"/>
    <w:rsid w:val="00D3217B"/>
    <w:rsid w:val="00D34CCE"/>
    <w:rsid w:val="00D46B25"/>
    <w:rsid w:val="00D47616"/>
    <w:rsid w:val="00D47984"/>
    <w:rsid w:val="00D54717"/>
    <w:rsid w:val="00D67845"/>
    <w:rsid w:val="00D73BD3"/>
    <w:rsid w:val="00D827AB"/>
    <w:rsid w:val="00D87C05"/>
    <w:rsid w:val="00DA3A03"/>
    <w:rsid w:val="00DA48D9"/>
    <w:rsid w:val="00DA4E97"/>
    <w:rsid w:val="00DB5F71"/>
    <w:rsid w:val="00DC1458"/>
    <w:rsid w:val="00DD262A"/>
    <w:rsid w:val="00DD2D4F"/>
    <w:rsid w:val="00DE69EE"/>
    <w:rsid w:val="00DE7F37"/>
    <w:rsid w:val="00DF2945"/>
    <w:rsid w:val="00DF2AE6"/>
    <w:rsid w:val="00E050FB"/>
    <w:rsid w:val="00E1678E"/>
    <w:rsid w:val="00E22727"/>
    <w:rsid w:val="00E53B69"/>
    <w:rsid w:val="00E56FF2"/>
    <w:rsid w:val="00E717B6"/>
    <w:rsid w:val="00E77B89"/>
    <w:rsid w:val="00E8703B"/>
    <w:rsid w:val="00E917AE"/>
    <w:rsid w:val="00E94B8E"/>
    <w:rsid w:val="00EB05EE"/>
    <w:rsid w:val="00EB4BD4"/>
    <w:rsid w:val="00EB6CD4"/>
    <w:rsid w:val="00EC4CEF"/>
    <w:rsid w:val="00ED77EE"/>
    <w:rsid w:val="00EE0318"/>
    <w:rsid w:val="00EF03AB"/>
    <w:rsid w:val="00EF5154"/>
    <w:rsid w:val="00F11E99"/>
    <w:rsid w:val="00F148E9"/>
    <w:rsid w:val="00F2162A"/>
    <w:rsid w:val="00F21ECF"/>
    <w:rsid w:val="00F27213"/>
    <w:rsid w:val="00F33889"/>
    <w:rsid w:val="00F40B70"/>
    <w:rsid w:val="00F45A47"/>
    <w:rsid w:val="00F471D1"/>
    <w:rsid w:val="00F52E79"/>
    <w:rsid w:val="00F63DDB"/>
    <w:rsid w:val="00F6567D"/>
    <w:rsid w:val="00F71ACE"/>
    <w:rsid w:val="00F75A3C"/>
    <w:rsid w:val="00F864C9"/>
    <w:rsid w:val="00F95DC0"/>
    <w:rsid w:val="00F97A34"/>
    <w:rsid w:val="00FA1E2A"/>
    <w:rsid w:val="00FB5EF1"/>
    <w:rsid w:val="00FB67E1"/>
    <w:rsid w:val="00FB794A"/>
    <w:rsid w:val="00FB7DBA"/>
    <w:rsid w:val="00FC2A5E"/>
    <w:rsid w:val="00FC63E6"/>
    <w:rsid w:val="00FD6D93"/>
    <w:rsid w:val="00FE75CE"/>
    <w:rsid w:val="00FF0CC0"/>
    <w:rsid w:val="00FF12D4"/>
    <w:rsid w:val="026C5BD5"/>
    <w:rsid w:val="08535305"/>
    <w:rsid w:val="0CDA4555"/>
    <w:rsid w:val="0D833FEA"/>
    <w:rsid w:val="11AEA39F"/>
    <w:rsid w:val="13D95911"/>
    <w:rsid w:val="141D2110"/>
    <w:rsid w:val="15752972"/>
    <w:rsid w:val="15E0A211"/>
    <w:rsid w:val="16ADE354"/>
    <w:rsid w:val="2036E7D3"/>
    <w:rsid w:val="24BDDA23"/>
    <w:rsid w:val="281AE090"/>
    <w:rsid w:val="302C5B5C"/>
    <w:rsid w:val="336364A6"/>
    <w:rsid w:val="385BB3EF"/>
    <w:rsid w:val="38BA5AC0"/>
    <w:rsid w:val="39BB99E4"/>
    <w:rsid w:val="3AE60B18"/>
    <w:rsid w:val="3E7095C8"/>
    <w:rsid w:val="3FC7C4E9"/>
    <w:rsid w:val="402ADB68"/>
    <w:rsid w:val="4163954A"/>
    <w:rsid w:val="480FF02A"/>
    <w:rsid w:val="578ADB4C"/>
    <w:rsid w:val="65013CFD"/>
    <w:rsid w:val="6854D187"/>
    <w:rsid w:val="69162AE9"/>
    <w:rsid w:val="69882F4D"/>
    <w:rsid w:val="6B620631"/>
    <w:rsid w:val="6BCC62CB"/>
    <w:rsid w:val="6C292056"/>
    <w:rsid w:val="6DD7C9BD"/>
    <w:rsid w:val="71E1D899"/>
    <w:rsid w:val="7AF6B128"/>
    <w:rsid w:val="7BC95E38"/>
    <w:rsid w:val="7D652E99"/>
    <w:rsid w:val="7F91E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32CF"/>
  <w15:chartTrackingRefBased/>
  <w15:docId w15:val="{D670F643-ACAE-4DE2-AFFC-9690DEE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8D"/>
    <w:rPr>
      <w:b/>
      <w:bCs/>
      <w:sz w:val="20"/>
      <w:szCs w:val="20"/>
    </w:rPr>
  </w:style>
  <w:style w:type="paragraph" w:customStyle="1" w:styleId="paragraph">
    <w:name w:val="paragraph"/>
    <w:basedOn w:val="Normal"/>
    <w:rsid w:val="006A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6A2163"/>
  </w:style>
  <w:style w:type="character" w:customStyle="1" w:styleId="eop">
    <w:name w:val="eop"/>
    <w:basedOn w:val="DefaultParagraphFont"/>
    <w:rsid w:val="006A2163"/>
  </w:style>
  <w:style w:type="paragraph" w:styleId="Revision">
    <w:name w:val="Revision"/>
    <w:hidden/>
    <w:uiPriority w:val="99"/>
    <w:semiHidden/>
    <w:rsid w:val="006F29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pe.tki.org.nz/planning-and-teaching-resourc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.aals.org/wp-content/uploads/sites/4/2020/01/AM20LawMedicineHealthPovertyPierson-BrownGraphic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bc9a7fd490e046f0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D665-91CA-48A5-97C4-7C6DF76EF6A2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22870-F4BD-4DDE-8CB1-6FDE01693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9F428-EE4A-43FB-9D59-DAA6D718D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Biljana Vignjevic</cp:lastModifiedBy>
  <cp:revision>2</cp:revision>
  <cp:lastPrinted>2022-05-06T20:43:00Z</cp:lastPrinted>
  <dcterms:created xsi:type="dcterms:W3CDTF">2022-08-01T23:42:00Z</dcterms:created>
  <dcterms:modified xsi:type="dcterms:W3CDTF">2022-08-07T21:44:00Z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[IN CONFIDENCE - RELEASE EXTERNAL]</vt:lpwstr>
  </property>
  <property fmtid="{D5CDD505-2E9C-101B-9397-08002B2CF9AE}" pid="9" name="ClassificationContentMarkingFooterShapeIds">
    <vt:lpwstr>4,5,6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[IN CONFIDENCE - RELEASE EXTERNAL]</vt:lpwstr>
  </property>
  <property fmtid="{D5CDD505-2E9C-101B-9397-08002B2CF9AE}" pid="12" name="MSIP_Label_1b4b38d8-92e6-456a-b12b-352d777e74dd_Enabled">
    <vt:lpwstr>true</vt:lpwstr>
  </property>
  <property fmtid="{D5CDD505-2E9C-101B-9397-08002B2CF9AE}" pid="13" name="MSIP_Label_1b4b38d8-92e6-456a-b12b-352d777e74dd_SetDate">
    <vt:lpwstr>2022-03-17T23:13:38Z</vt:lpwstr>
  </property>
  <property fmtid="{D5CDD505-2E9C-101B-9397-08002B2CF9AE}" pid="14" name="MSIP_Label_1b4b38d8-92e6-456a-b12b-352d777e74dd_Method">
    <vt:lpwstr>Privileged</vt:lpwstr>
  </property>
  <property fmtid="{D5CDD505-2E9C-101B-9397-08002B2CF9AE}" pid="15" name="MSIP_Label_1b4b38d8-92e6-456a-b12b-352d777e74dd_Name">
    <vt:lpwstr>IN CONFIDENCE - RELEASE EXTERNAL</vt:lpwstr>
  </property>
  <property fmtid="{D5CDD505-2E9C-101B-9397-08002B2CF9AE}" pid="16" name="MSIP_Label_1b4b38d8-92e6-456a-b12b-352d777e74dd_SiteId">
    <vt:lpwstr>e6d2d4cc-b762-486e-8894-4f5f440d5f31</vt:lpwstr>
  </property>
  <property fmtid="{D5CDD505-2E9C-101B-9397-08002B2CF9AE}" pid="17" name="MSIP_Label_1b4b38d8-92e6-456a-b12b-352d777e74dd_ActionId">
    <vt:lpwstr>145e3525-621d-4ae9-b144-c823f0396fd4</vt:lpwstr>
  </property>
  <property fmtid="{D5CDD505-2E9C-101B-9397-08002B2CF9AE}" pid="18" name="MSIP_Label_1b4b38d8-92e6-456a-b12b-352d777e74dd_ContentBits">
    <vt:lpwstr>3</vt:lpwstr>
  </property>
  <property fmtid="{D5CDD505-2E9C-101B-9397-08002B2CF9AE}" pid="19" name="MediaServiceImageTags">
    <vt:lpwstr/>
  </property>
</Properties>
</file>