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B97C" w14:textId="77777777" w:rsidR="00104F47" w:rsidRDefault="00540B81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Achievement Standard</w:t>
      </w:r>
    </w:p>
    <w:p w14:paraId="217BACBB" w14:textId="77777777" w:rsidR="00104F47" w:rsidRDefault="00104F47">
      <w:pPr>
        <w:ind w:left="0" w:hanging="2"/>
      </w:pPr>
    </w:p>
    <w:tbl>
      <w:tblPr>
        <w:tblStyle w:val="a"/>
        <w:tblW w:w="100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51"/>
        <w:gridCol w:w="593"/>
        <w:gridCol w:w="527"/>
        <w:gridCol w:w="37"/>
        <w:gridCol w:w="2270"/>
        <w:gridCol w:w="130"/>
        <w:gridCol w:w="816"/>
        <w:gridCol w:w="1180"/>
        <w:gridCol w:w="684"/>
        <w:gridCol w:w="2480"/>
      </w:tblGrid>
      <w:tr w:rsidR="00104F47" w14:paraId="52E6BEF6" w14:textId="77777777">
        <w:tc>
          <w:tcPr>
            <w:tcW w:w="2508" w:type="dxa"/>
            <w:gridSpan w:val="4"/>
          </w:tcPr>
          <w:p w14:paraId="209E3DE1" w14:textId="77777777" w:rsidR="00104F47" w:rsidRDefault="00540B81">
            <w:pPr>
              <w:pStyle w:val="Subtitle"/>
              <w:tabs>
                <w:tab w:val="left" w:pos="1260"/>
              </w:tabs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Subject Reference</w:t>
            </w:r>
          </w:p>
        </w:tc>
        <w:tc>
          <w:tcPr>
            <w:tcW w:w="7560" w:type="dxa"/>
            <w:gridSpan w:val="6"/>
          </w:tcPr>
          <w:p w14:paraId="71B8A033" w14:textId="77777777" w:rsidR="00104F47" w:rsidRDefault="00540B81">
            <w:pPr>
              <w:spacing w:after="120"/>
              <w:ind w:left="0" w:hanging="2"/>
            </w:pPr>
            <w:r>
              <w:t>Te Reo Māori 1.4</w:t>
            </w:r>
          </w:p>
        </w:tc>
      </w:tr>
      <w:tr w:rsidR="00104F47" w14:paraId="071ADF93" w14:textId="77777777">
        <w:tc>
          <w:tcPr>
            <w:tcW w:w="2508" w:type="dxa"/>
            <w:gridSpan w:val="4"/>
          </w:tcPr>
          <w:p w14:paraId="7938B5B6" w14:textId="77777777" w:rsidR="00104F47" w:rsidRDefault="00540B81">
            <w:pPr>
              <w:pStyle w:val="Heading6"/>
              <w:keepNext w:val="0"/>
              <w:spacing w:before="120" w:after="120"/>
              <w:ind w:left="0" w:hanging="2"/>
            </w:pPr>
            <w:r>
              <w:rPr>
                <w:b/>
              </w:rPr>
              <w:t>Title</w:t>
            </w:r>
          </w:p>
        </w:tc>
        <w:tc>
          <w:tcPr>
            <w:tcW w:w="7560" w:type="dxa"/>
            <w:gridSpan w:val="6"/>
          </w:tcPr>
          <w:p w14:paraId="0F9FF8DD" w14:textId="77777777" w:rsidR="00104F47" w:rsidRDefault="00540B81">
            <w:pPr>
              <w:spacing w:after="120"/>
              <w:ind w:left="0" w:hanging="2"/>
            </w:pPr>
            <w:r>
              <w:t>Te whakapuaki whakaaro i runga i te tika haere o te reo</w:t>
            </w:r>
          </w:p>
        </w:tc>
      </w:tr>
      <w:tr w:rsidR="00104F47" w14:paraId="7974A9DB" w14:textId="77777777">
        <w:tc>
          <w:tcPr>
            <w:tcW w:w="1351" w:type="dxa"/>
          </w:tcPr>
          <w:p w14:paraId="2CFFC11A" w14:textId="77777777" w:rsidR="00104F47" w:rsidRDefault="00540B81">
            <w:pPr>
              <w:pStyle w:val="Heading6"/>
              <w:keepNext w:val="0"/>
              <w:spacing w:before="120" w:after="120"/>
              <w:ind w:left="0" w:hanging="2"/>
            </w:pPr>
            <w:r>
              <w:rPr>
                <w:b/>
              </w:rPr>
              <w:t>Level</w:t>
            </w:r>
          </w:p>
        </w:tc>
        <w:tc>
          <w:tcPr>
            <w:tcW w:w="1157" w:type="dxa"/>
            <w:gridSpan w:val="3"/>
          </w:tcPr>
          <w:p w14:paraId="6A9FCCD9" w14:textId="77777777" w:rsidR="00104F47" w:rsidRDefault="00540B81">
            <w:pPr>
              <w:spacing w:after="120"/>
              <w:ind w:left="0" w:hanging="2"/>
            </w:pPr>
            <w:r>
              <w:t>1</w:t>
            </w:r>
          </w:p>
        </w:tc>
        <w:tc>
          <w:tcPr>
            <w:tcW w:w="2400" w:type="dxa"/>
            <w:gridSpan w:val="2"/>
          </w:tcPr>
          <w:p w14:paraId="0F8288D6" w14:textId="77777777" w:rsidR="00104F47" w:rsidRDefault="00540B81">
            <w:pPr>
              <w:spacing w:after="120"/>
              <w:ind w:left="0" w:hanging="2"/>
            </w:pPr>
            <w:r>
              <w:rPr>
                <w:b/>
              </w:rPr>
              <w:t>Credits</w:t>
            </w:r>
          </w:p>
        </w:tc>
        <w:tc>
          <w:tcPr>
            <w:tcW w:w="816" w:type="dxa"/>
          </w:tcPr>
          <w:p w14:paraId="1DC831B7" w14:textId="77777777" w:rsidR="00104F47" w:rsidRDefault="00540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64" w:type="dxa"/>
            <w:gridSpan w:val="2"/>
          </w:tcPr>
          <w:p w14:paraId="24280742" w14:textId="77777777" w:rsidR="00104F47" w:rsidRDefault="00540B81">
            <w:pPr>
              <w:spacing w:after="120"/>
              <w:ind w:left="0" w:hanging="2"/>
            </w:pPr>
            <w:r>
              <w:rPr>
                <w:b/>
              </w:rPr>
              <w:t>Assessment</w:t>
            </w:r>
          </w:p>
        </w:tc>
        <w:tc>
          <w:tcPr>
            <w:tcW w:w="2480" w:type="dxa"/>
          </w:tcPr>
          <w:p w14:paraId="2EAB3749" w14:textId="77777777" w:rsidR="00104F47" w:rsidRDefault="00540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External</w:t>
            </w:r>
          </w:p>
        </w:tc>
      </w:tr>
      <w:tr w:rsidR="00104F47" w14:paraId="3014DBDB" w14:textId="77777777">
        <w:tc>
          <w:tcPr>
            <w:tcW w:w="2508" w:type="dxa"/>
            <w:gridSpan w:val="4"/>
          </w:tcPr>
          <w:p w14:paraId="0BA53B8F" w14:textId="77777777" w:rsidR="00104F47" w:rsidRDefault="00540B81">
            <w:pPr>
              <w:pStyle w:val="Heading6"/>
              <w:keepNext w:val="0"/>
              <w:spacing w:before="120" w:after="120"/>
              <w:ind w:left="0" w:hanging="2"/>
            </w:pPr>
            <w:r>
              <w:rPr>
                <w:b/>
              </w:rPr>
              <w:t>Subfield</w:t>
            </w:r>
          </w:p>
        </w:tc>
        <w:tc>
          <w:tcPr>
            <w:tcW w:w="7560" w:type="dxa"/>
            <w:gridSpan w:val="6"/>
          </w:tcPr>
          <w:p w14:paraId="5CEAA04F" w14:textId="2F479326" w:rsidR="00104F47" w:rsidRDefault="00540B81">
            <w:pPr>
              <w:spacing w:after="120"/>
              <w:ind w:left="0" w:hanging="2"/>
            </w:pPr>
            <w:r>
              <w:t>Reo Māori</w:t>
            </w:r>
          </w:p>
        </w:tc>
      </w:tr>
      <w:tr w:rsidR="00104F47" w14:paraId="55426CEA" w14:textId="77777777">
        <w:tc>
          <w:tcPr>
            <w:tcW w:w="2508" w:type="dxa"/>
            <w:gridSpan w:val="4"/>
          </w:tcPr>
          <w:p w14:paraId="2B431C47" w14:textId="77777777" w:rsidR="00104F47" w:rsidRDefault="00540B81">
            <w:pPr>
              <w:spacing w:after="120"/>
              <w:ind w:left="0" w:hanging="2"/>
            </w:pPr>
            <w:r>
              <w:rPr>
                <w:b/>
              </w:rPr>
              <w:t>Domain</w:t>
            </w:r>
          </w:p>
        </w:tc>
        <w:tc>
          <w:tcPr>
            <w:tcW w:w="7560" w:type="dxa"/>
            <w:gridSpan w:val="6"/>
          </w:tcPr>
          <w:p w14:paraId="48A0A0B7" w14:textId="77777777" w:rsidR="00104F47" w:rsidRDefault="00540B81">
            <w:pPr>
              <w:spacing w:after="120"/>
              <w:ind w:left="0" w:hanging="2"/>
            </w:pPr>
            <w:r>
              <w:t>Te Reo Māori</w:t>
            </w:r>
          </w:p>
        </w:tc>
      </w:tr>
      <w:tr w:rsidR="00104F47" w14:paraId="3E225094" w14:textId="77777777">
        <w:tc>
          <w:tcPr>
            <w:tcW w:w="2471" w:type="dxa"/>
            <w:gridSpan w:val="3"/>
          </w:tcPr>
          <w:p w14:paraId="70591E14" w14:textId="77777777" w:rsidR="00104F47" w:rsidRDefault="00540B81">
            <w:pPr>
              <w:spacing w:after="120"/>
              <w:ind w:left="0" w:hanging="2"/>
            </w:pPr>
            <w:r>
              <w:rPr>
                <w:b/>
                <w:color w:val="000000"/>
              </w:rPr>
              <w:t>Status</w:t>
            </w:r>
          </w:p>
        </w:tc>
        <w:tc>
          <w:tcPr>
            <w:tcW w:w="2307" w:type="dxa"/>
            <w:gridSpan w:val="2"/>
          </w:tcPr>
          <w:p w14:paraId="25E3D3A3" w14:textId="77777777" w:rsidR="00104F47" w:rsidRDefault="00104F47">
            <w:pPr>
              <w:spacing w:after="120"/>
              <w:ind w:left="0" w:hanging="2"/>
            </w:pPr>
          </w:p>
        </w:tc>
        <w:tc>
          <w:tcPr>
            <w:tcW w:w="2126" w:type="dxa"/>
            <w:gridSpan w:val="3"/>
          </w:tcPr>
          <w:p w14:paraId="303ADD1F" w14:textId="77777777" w:rsidR="00104F47" w:rsidRDefault="00540B81">
            <w:pPr>
              <w:spacing w:after="120"/>
              <w:ind w:left="0" w:hanging="2"/>
            </w:pPr>
            <w:r>
              <w:rPr>
                <w:b/>
              </w:rPr>
              <w:t>Status date</w:t>
            </w:r>
          </w:p>
        </w:tc>
        <w:tc>
          <w:tcPr>
            <w:tcW w:w="3164" w:type="dxa"/>
            <w:gridSpan w:val="2"/>
          </w:tcPr>
          <w:p w14:paraId="5D41BDFC" w14:textId="77777777" w:rsidR="00104F47" w:rsidRDefault="00104F47">
            <w:pPr>
              <w:spacing w:after="120"/>
              <w:ind w:left="0" w:right="-108" w:hanging="2"/>
            </w:pPr>
          </w:p>
        </w:tc>
      </w:tr>
      <w:tr w:rsidR="00104F47" w14:paraId="7F655DEE" w14:textId="77777777">
        <w:tc>
          <w:tcPr>
            <w:tcW w:w="1944" w:type="dxa"/>
            <w:gridSpan w:val="2"/>
          </w:tcPr>
          <w:p w14:paraId="457A040C" w14:textId="77777777" w:rsidR="00104F47" w:rsidRDefault="00540B81">
            <w:pPr>
              <w:spacing w:after="120"/>
              <w:ind w:left="0" w:hanging="2"/>
            </w:pPr>
            <w:r>
              <w:rPr>
                <w:b/>
              </w:rPr>
              <w:t>Planned review date</w:t>
            </w:r>
          </w:p>
        </w:tc>
        <w:tc>
          <w:tcPr>
            <w:tcW w:w="2834" w:type="dxa"/>
            <w:gridSpan w:val="3"/>
          </w:tcPr>
          <w:p w14:paraId="74FA28BB" w14:textId="77777777" w:rsidR="00104F47" w:rsidRDefault="00104F47">
            <w:pPr>
              <w:spacing w:after="120"/>
              <w:ind w:left="0" w:right="-108" w:hanging="2"/>
            </w:pPr>
          </w:p>
        </w:tc>
        <w:tc>
          <w:tcPr>
            <w:tcW w:w="2126" w:type="dxa"/>
            <w:gridSpan w:val="3"/>
          </w:tcPr>
          <w:p w14:paraId="3BF98F1C" w14:textId="77777777" w:rsidR="00104F47" w:rsidRDefault="00540B81">
            <w:pPr>
              <w:pStyle w:val="Heading6"/>
              <w:spacing w:before="120" w:after="120"/>
              <w:ind w:left="0" w:hanging="2"/>
            </w:pPr>
            <w:r>
              <w:rPr>
                <w:b/>
              </w:rPr>
              <w:t>Date version published</w:t>
            </w:r>
          </w:p>
        </w:tc>
        <w:tc>
          <w:tcPr>
            <w:tcW w:w="3164" w:type="dxa"/>
            <w:gridSpan w:val="2"/>
          </w:tcPr>
          <w:p w14:paraId="6FF404B4" w14:textId="77777777" w:rsidR="00104F47" w:rsidRDefault="00104F47">
            <w:pPr>
              <w:spacing w:after="120"/>
              <w:ind w:left="0" w:hanging="2"/>
            </w:pPr>
          </w:p>
        </w:tc>
      </w:tr>
    </w:tbl>
    <w:p w14:paraId="6ED16D11" w14:textId="77777777" w:rsidR="00104F47" w:rsidRDefault="00104F47">
      <w:pPr>
        <w:pBdr>
          <w:bottom w:val="single" w:sz="4" w:space="1" w:color="000000"/>
        </w:pBdr>
        <w:spacing w:before="0"/>
        <w:ind w:left="0" w:hanging="2"/>
      </w:pPr>
    </w:p>
    <w:p w14:paraId="73521DE2" w14:textId="77777777" w:rsidR="00104F47" w:rsidRDefault="00104F47">
      <w:pPr>
        <w:spacing w:before="0"/>
        <w:ind w:left="0" w:hanging="2"/>
        <w:rPr>
          <w:color w:val="000000"/>
        </w:rPr>
      </w:pPr>
    </w:p>
    <w:p w14:paraId="305158EB" w14:textId="77777777" w:rsidR="00104F47" w:rsidRDefault="00540B81">
      <w:pPr>
        <w:spacing w:before="0"/>
        <w:ind w:left="0" w:hanging="2"/>
      </w:pPr>
      <w:r>
        <w:rPr>
          <w:color w:val="000000"/>
        </w:rPr>
        <w:t xml:space="preserve">Students will </w:t>
      </w:r>
      <w:r>
        <w:t>communicate ideas with emerging accuracy</w:t>
      </w:r>
      <w:r>
        <w:rPr>
          <w:color w:val="000000"/>
        </w:rPr>
        <w:t>.</w:t>
      </w:r>
    </w:p>
    <w:p w14:paraId="3BCD05EA" w14:textId="77777777" w:rsidR="00104F47" w:rsidRDefault="00104F47">
      <w:pPr>
        <w:spacing w:before="0"/>
        <w:ind w:left="0" w:hanging="2"/>
      </w:pPr>
    </w:p>
    <w:p w14:paraId="4368B3FB" w14:textId="77777777" w:rsidR="00104F47" w:rsidRDefault="00540B81">
      <w:pPr>
        <w:spacing w:before="0"/>
        <w:ind w:left="0" w:hanging="2"/>
      </w:pPr>
      <w:r>
        <w:rPr>
          <w:b/>
        </w:rPr>
        <w:t xml:space="preserve">Achievement Criteria </w:t>
      </w:r>
    </w:p>
    <w:p w14:paraId="22CD7316" w14:textId="77777777" w:rsidR="00104F47" w:rsidRDefault="00104F47">
      <w:pPr>
        <w:spacing w:before="0"/>
        <w:ind w:left="0" w:hanging="2"/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5"/>
        <w:gridCol w:w="3283"/>
      </w:tblGrid>
      <w:tr w:rsidR="00104F47" w14:paraId="43D1C7B9" w14:textId="77777777">
        <w:trPr>
          <w:cantSplit/>
          <w:tblHeader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D0BC" w14:textId="77777777" w:rsidR="00104F47" w:rsidRDefault="00540B81">
            <w:pPr>
              <w:keepNext/>
              <w:keepLines/>
              <w:spacing w:after="120"/>
              <w:ind w:left="0" w:hanging="2"/>
            </w:pPr>
            <w:r>
              <w:rPr>
                <w:b/>
              </w:rPr>
              <w:t>Achieved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898D" w14:textId="77777777" w:rsidR="00104F47" w:rsidRDefault="00540B81">
            <w:pPr>
              <w:keepNext/>
              <w:keepLines/>
              <w:spacing w:after="120"/>
              <w:ind w:left="0" w:hanging="2"/>
            </w:pPr>
            <w:r>
              <w:rPr>
                <w:b/>
              </w:rPr>
              <w:t>Merit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41D" w14:textId="77777777" w:rsidR="00104F47" w:rsidRDefault="00540B81">
            <w:pPr>
              <w:keepNext/>
              <w:keepLines/>
              <w:spacing w:after="120"/>
              <w:ind w:left="0" w:hanging="2"/>
            </w:pPr>
            <w:r>
              <w:rPr>
                <w:b/>
              </w:rPr>
              <w:t>Excellence</w:t>
            </w:r>
          </w:p>
        </w:tc>
      </w:tr>
      <w:tr w:rsidR="00104F47" w14:paraId="58B707B7" w14:textId="77777777">
        <w:trPr>
          <w:cantSplit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E038" w14:textId="15C9B500" w:rsidR="00104F47" w:rsidRDefault="00540B81">
            <w:pPr>
              <w:numPr>
                <w:ilvl w:val="0"/>
                <w:numId w:val="2"/>
              </w:numPr>
              <w:tabs>
                <w:tab w:val="left" w:pos="284"/>
              </w:tabs>
              <w:spacing w:after="120"/>
              <w:ind w:left="0" w:hanging="2"/>
            </w:pPr>
            <w:r>
              <w:t>Communicate ideas with emerging accuracy</w:t>
            </w:r>
            <w:r w:rsidR="00890DB7"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1A049" w14:textId="76317F73" w:rsidR="00104F47" w:rsidRDefault="00540B81">
            <w:pPr>
              <w:numPr>
                <w:ilvl w:val="0"/>
                <w:numId w:val="2"/>
              </w:numPr>
              <w:tabs>
                <w:tab w:val="left" w:pos="284"/>
              </w:tabs>
              <w:spacing w:after="120"/>
              <w:ind w:left="0" w:hanging="2"/>
            </w:pPr>
            <w:r>
              <w:t>Confidently communicate ideas with emerging accuracy</w:t>
            </w:r>
            <w:r w:rsidR="00890DB7"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EBF20" w14:textId="63F35B0B" w:rsidR="00104F47" w:rsidRDefault="00540B81">
            <w:pPr>
              <w:numPr>
                <w:ilvl w:val="0"/>
                <w:numId w:val="2"/>
              </w:numPr>
              <w:tabs>
                <w:tab w:val="left" w:pos="397"/>
              </w:tabs>
              <w:spacing w:line="288" w:lineRule="auto"/>
              <w:ind w:left="0" w:hanging="2"/>
            </w:pPr>
            <w:r>
              <w:t>Convincingly communicate ideas with emerging accuracy</w:t>
            </w:r>
            <w:r w:rsidR="00890DB7">
              <w:t>.</w:t>
            </w:r>
          </w:p>
        </w:tc>
      </w:tr>
    </w:tbl>
    <w:p w14:paraId="00AFD033" w14:textId="77777777" w:rsidR="00104F47" w:rsidRDefault="00104F47">
      <w:pPr>
        <w:spacing w:before="0"/>
        <w:ind w:left="0" w:hanging="2"/>
      </w:pPr>
    </w:p>
    <w:p w14:paraId="73D2EA66" w14:textId="77777777" w:rsidR="00104F47" w:rsidRDefault="00540B81">
      <w:pPr>
        <w:keepNext/>
        <w:spacing w:before="0"/>
        <w:ind w:left="0" w:hanging="2"/>
      </w:pPr>
      <w:r>
        <w:rPr>
          <w:b/>
        </w:rPr>
        <w:t>Explanatory Notes</w:t>
      </w:r>
    </w:p>
    <w:p w14:paraId="7D773BE5" w14:textId="77777777" w:rsidR="00104F47" w:rsidRDefault="00104F47">
      <w:pPr>
        <w:tabs>
          <w:tab w:val="left" w:pos="924"/>
        </w:tabs>
        <w:spacing w:before="0"/>
        <w:ind w:left="0" w:hanging="2"/>
      </w:pPr>
    </w:p>
    <w:p w14:paraId="6241BAB3" w14:textId="77777777" w:rsidR="00104F47" w:rsidRDefault="00540B81">
      <w:pPr>
        <w:numPr>
          <w:ilvl w:val="0"/>
          <w:numId w:val="1"/>
        </w:numPr>
        <w:ind w:left="0" w:hanging="2"/>
      </w:pPr>
      <w:r>
        <w:t xml:space="preserve">This achievement standard is derived from </w:t>
      </w:r>
      <w:r>
        <w:rPr>
          <w:i/>
        </w:rPr>
        <w:t>The New Zealand Curriculum</w:t>
      </w:r>
      <w:r>
        <w:t xml:space="preserve">, Learning Media, Ministry of Education, 2007, and the objectives at Level 6 of </w:t>
      </w:r>
      <w:r>
        <w:rPr>
          <w:i/>
        </w:rPr>
        <w:t xml:space="preserve">Te Aho Arataki Marau mō te Ako i </w:t>
      </w:r>
      <w:r>
        <w:rPr>
          <w:i/>
        </w:rPr>
        <w:t>Te Reo Māori - Kura Auraki</w:t>
      </w:r>
      <w:r>
        <w:t>.</w:t>
      </w:r>
    </w:p>
    <w:p w14:paraId="0EA43E45" w14:textId="77777777" w:rsidR="00104F47" w:rsidRDefault="00104F47">
      <w:pPr>
        <w:ind w:left="0" w:hanging="2"/>
      </w:pPr>
    </w:p>
    <w:p w14:paraId="4DF59D5B" w14:textId="77777777" w:rsidR="00104F47" w:rsidRDefault="00540B81">
      <w:pPr>
        <w:numPr>
          <w:ilvl w:val="0"/>
          <w:numId w:val="1"/>
        </w:numPr>
        <w:ind w:left="0" w:hanging="2"/>
      </w:pPr>
      <w:r>
        <w:t>The following are explanations for the key words and phrases of this standard:</w:t>
      </w:r>
    </w:p>
    <w:p w14:paraId="62A2800D" w14:textId="77777777" w:rsidR="00104F47" w:rsidRDefault="00104F47">
      <w:pPr>
        <w:ind w:left="0" w:hanging="2"/>
      </w:pPr>
    </w:p>
    <w:p w14:paraId="0F176451" w14:textId="77777777" w:rsidR="00104F47" w:rsidRDefault="00540B81">
      <w:pPr>
        <w:tabs>
          <w:tab w:val="left" w:pos="567"/>
        </w:tabs>
        <w:ind w:left="0" w:hanging="2"/>
        <w:rPr>
          <w:highlight w:val="white"/>
        </w:rPr>
      </w:pPr>
      <w:r>
        <w:rPr>
          <w:i/>
          <w:highlight w:val="white"/>
        </w:rPr>
        <w:tab/>
      </w:r>
      <w:r>
        <w:rPr>
          <w:i/>
          <w:highlight w:val="white"/>
        </w:rPr>
        <w:tab/>
        <w:t xml:space="preserve">Demonstrate an understanding of language accuracy </w:t>
      </w:r>
      <w:r>
        <w:rPr>
          <w:highlight w:val="white"/>
        </w:rPr>
        <w:t xml:space="preserve">involves: </w:t>
      </w:r>
    </w:p>
    <w:p w14:paraId="0F7038FE" w14:textId="77777777" w:rsidR="00104F47" w:rsidRDefault="00540B81">
      <w:pPr>
        <w:numPr>
          <w:ilvl w:val="0"/>
          <w:numId w:val="4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pronouncing and using words and structures correctly in familiar contexts</w:t>
      </w:r>
    </w:p>
    <w:p w14:paraId="5F471946" w14:textId="77777777" w:rsidR="00104F47" w:rsidRDefault="00540B81">
      <w:pPr>
        <w:numPr>
          <w:ilvl w:val="0"/>
          <w:numId w:val="4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expressi</w:t>
      </w:r>
      <w:bookmarkStart w:id="0" w:name="_GoBack"/>
      <w:bookmarkEnd w:id="0"/>
      <w:r>
        <w:rPr>
          <w:highlight w:val="white"/>
        </w:rPr>
        <w:t>ng relevant information, ideas, and opinions</w:t>
      </w:r>
    </w:p>
    <w:p w14:paraId="45A18AB1" w14:textId="77777777" w:rsidR="00104F47" w:rsidRDefault="00540B81">
      <w:pPr>
        <w:numPr>
          <w:ilvl w:val="0"/>
          <w:numId w:val="4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achieving overall communication despite minor errors.</w:t>
      </w:r>
    </w:p>
    <w:p w14:paraId="6152703B" w14:textId="77777777" w:rsidR="00104F47" w:rsidRDefault="00104F47">
      <w:pPr>
        <w:tabs>
          <w:tab w:val="left" w:pos="567"/>
        </w:tabs>
        <w:ind w:left="0" w:hanging="2"/>
        <w:rPr>
          <w:highlight w:val="white"/>
        </w:rPr>
      </w:pPr>
    </w:p>
    <w:p w14:paraId="32A86FA9" w14:textId="77777777" w:rsidR="00104F47" w:rsidRDefault="00540B81">
      <w:pPr>
        <w:tabs>
          <w:tab w:val="left" w:pos="567"/>
        </w:tabs>
        <w:ind w:left="0" w:hanging="2"/>
        <w:rPr>
          <w:highlight w:val="white"/>
        </w:rPr>
      </w:pPr>
      <w:r>
        <w:rPr>
          <w:i/>
          <w:highlight w:val="white"/>
        </w:rPr>
        <w:tab/>
        <w:t>Demonstrate a deep understanding of language accuracy involves:</w:t>
      </w:r>
    </w:p>
    <w:p w14:paraId="02D07346" w14:textId="77777777" w:rsidR="00104F47" w:rsidRDefault="00540B81">
      <w:pPr>
        <w:numPr>
          <w:ilvl w:val="0"/>
          <w:numId w:val="5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using a variety of words and structures correctly in familiar contexts</w:t>
      </w:r>
    </w:p>
    <w:p w14:paraId="11E305D8" w14:textId="77777777" w:rsidR="00104F47" w:rsidRDefault="00540B81">
      <w:pPr>
        <w:numPr>
          <w:ilvl w:val="0"/>
          <w:numId w:val="5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 xml:space="preserve">building on </w:t>
      </w:r>
      <w:r>
        <w:rPr>
          <w:highlight w:val="white"/>
        </w:rPr>
        <w:t>aspects of the information, ideas, and opinions expressed</w:t>
      </w:r>
    </w:p>
    <w:p w14:paraId="4D63F8E6" w14:textId="77777777" w:rsidR="00104F47" w:rsidRDefault="00540B81">
      <w:pPr>
        <w:numPr>
          <w:ilvl w:val="0"/>
          <w:numId w:val="5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achieving communication that is not significantly hindered by minor errors.</w:t>
      </w:r>
    </w:p>
    <w:p w14:paraId="0F5080B3" w14:textId="77777777" w:rsidR="00104F47" w:rsidRDefault="00104F47">
      <w:pPr>
        <w:tabs>
          <w:tab w:val="left" w:pos="567"/>
        </w:tabs>
        <w:ind w:left="0" w:hanging="2"/>
        <w:rPr>
          <w:highlight w:val="white"/>
        </w:rPr>
      </w:pPr>
    </w:p>
    <w:p w14:paraId="1E661125" w14:textId="77777777" w:rsidR="00104F47" w:rsidRDefault="00540B81">
      <w:pPr>
        <w:tabs>
          <w:tab w:val="left" w:pos="567"/>
        </w:tabs>
        <w:ind w:left="0" w:hanging="2"/>
        <w:rPr>
          <w:highlight w:val="white"/>
        </w:rPr>
      </w:pPr>
      <w:r>
        <w:rPr>
          <w:i/>
          <w:highlight w:val="white"/>
        </w:rPr>
        <w:t xml:space="preserve">Demonstrate a comprehensive understanding of language accuracy </w:t>
      </w:r>
      <w:r>
        <w:rPr>
          <w:highlight w:val="white"/>
        </w:rPr>
        <w:t>involves:</w:t>
      </w:r>
    </w:p>
    <w:p w14:paraId="4CAC822C" w14:textId="77777777" w:rsidR="00104F47" w:rsidRDefault="00540B81">
      <w:pPr>
        <w:numPr>
          <w:ilvl w:val="0"/>
          <w:numId w:val="6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using a variety of words and structures correctl</w:t>
      </w:r>
      <w:r>
        <w:rPr>
          <w:highlight w:val="white"/>
        </w:rPr>
        <w:t>y that enriches the information, ideas, and opinions communicated</w:t>
      </w:r>
    </w:p>
    <w:p w14:paraId="110AA1A3" w14:textId="77777777" w:rsidR="00104F47" w:rsidRDefault="00540B81">
      <w:pPr>
        <w:numPr>
          <w:ilvl w:val="0"/>
          <w:numId w:val="6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connecting information, ideas, and opinions</w:t>
      </w:r>
    </w:p>
    <w:p w14:paraId="5FE7A0E9" w14:textId="77777777" w:rsidR="00104F47" w:rsidRDefault="00540B81">
      <w:pPr>
        <w:numPr>
          <w:ilvl w:val="0"/>
          <w:numId w:val="6"/>
        </w:numPr>
        <w:tabs>
          <w:tab w:val="left" w:pos="567"/>
        </w:tabs>
        <w:spacing w:before="0"/>
        <w:ind w:left="0" w:hanging="2"/>
        <w:rPr>
          <w:highlight w:val="white"/>
        </w:rPr>
      </w:pPr>
      <w:r>
        <w:rPr>
          <w:highlight w:val="white"/>
        </w:rPr>
        <w:t>achieving communication that is not hindered by errors.</w:t>
      </w:r>
    </w:p>
    <w:p w14:paraId="5414FB69" w14:textId="77777777" w:rsidR="00104F47" w:rsidRDefault="00104F47" w:rsidP="00890DB7">
      <w:pPr>
        <w:ind w:leftChars="0" w:left="0" w:firstLineChars="0" w:firstLine="0"/>
      </w:pPr>
    </w:p>
    <w:p w14:paraId="43FDD325" w14:textId="44C73ECF" w:rsidR="00104F47" w:rsidRPr="00890DB7" w:rsidRDefault="00540B81" w:rsidP="00890DB7">
      <w:pPr>
        <w:tabs>
          <w:tab w:val="num" w:pos="567"/>
        </w:tabs>
        <w:suppressAutoHyphens w:val="0"/>
        <w:spacing w:line="240" w:lineRule="auto"/>
        <w:ind w:leftChars="0" w:left="567" w:firstLineChars="0" w:hanging="567"/>
        <w:textAlignment w:val="auto"/>
        <w:outlineLvl w:val="9"/>
        <w:rPr>
          <w:rFonts w:eastAsia="Times New Roman"/>
          <w:position w:val="0"/>
          <w:szCs w:val="20"/>
        </w:rPr>
      </w:pPr>
      <w:r w:rsidRPr="00890DB7">
        <w:rPr>
          <w:rFonts w:eastAsia="Times New Roman"/>
          <w:position w:val="0"/>
          <w:szCs w:val="20"/>
        </w:rPr>
        <w:t xml:space="preserve">3 </w:t>
      </w:r>
      <w:r w:rsidRPr="00890DB7">
        <w:rPr>
          <w:rFonts w:eastAsia="Times New Roman"/>
          <w:position w:val="0"/>
          <w:szCs w:val="20"/>
        </w:rPr>
        <w:tab/>
      </w:r>
      <w:r w:rsidRPr="00890DB7">
        <w:rPr>
          <w:rFonts w:eastAsia="Times New Roman"/>
          <w:i/>
          <w:position w:val="0"/>
          <w:szCs w:val="20"/>
        </w:rPr>
        <w:t>Language accuracy</w:t>
      </w:r>
      <w:r w:rsidRPr="00890DB7">
        <w:rPr>
          <w:rFonts w:eastAsia="Times New Roman"/>
          <w:position w:val="0"/>
          <w:szCs w:val="20"/>
        </w:rPr>
        <w:t xml:space="preserve"> </w:t>
      </w:r>
      <w:r w:rsidRPr="00890DB7">
        <w:rPr>
          <w:rFonts w:eastAsia="Times New Roman"/>
          <w:position w:val="0"/>
          <w:szCs w:val="20"/>
        </w:rPr>
        <w:t>is the correct organisation of words and structures, as well as cor</w:t>
      </w:r>
      <w:r w:rsidRPr="00890DB7">
        <w:rPr>
          <w:rFonts w:eastAsia="Times New Roman"/>
          <w:position w:val="0"/>
          <w:szCs w:val="20"/>
        </w:rPr>
        <w:t>rect pronunciation and intonation. Accuracy is a foundation from which fluency is developed. This does not necessarily mean that language is completely free from errors, as making mistakes is a natural part of language acquisition.</w:t>
      </w:r>
    </w:p>
    <w:p w14:paraId="7B9A10C6" w14:textId="77777777" w:rsidR="00104F47" w:rsidRPr="00890DB7" w:rsidRDefault="00104F47" w:rsidP="00890DB7">
      <w:pPr>
        <w:ind w:leftChars="0" w:left="0" w:firstLineChars="0" w:firstLine="0"/>
      </w:pPr>
    </w:p>
    <w:p w14:paraId="60827011" w14:textId="2AC169D6" w:rsidR="00104F47" w:rsidRPr="00890DB7" w:rsidRDefault="00540B81" w:rsidP="00890DB7">
      <w:pPr>
        <w:tabs>
          <w:tab w:val="num" w:pos="567"/>
        </w:tabs>
        <w:suppressAutoHyphens w:val="0"/>
        <w:spacing w:line="240" w:lineRule="auto"/>
        <w:ind w:leftChars="0" w:left="567" w:firstLineChars="0" w:hanging="567"/>
        <w:textAlignment w:val="auto"/>
        <w:outlineLvl w:val="9"/>
        <w:rPr>
          <w:rFonts w:eastAsia="Times New Roman"/>
          <w:position w:val="0"/>
          <w:szCs w:val="20"/>
        </w:rPr>
      </w:pPr>
      <w:r w:rsidRPr="00890DB7">
        <w:rPr>
          <w:rFonts w:eastAsia="Times New Roman"/>
          <w:position w:val="0"/>
          <w:szCs w:val="20"/>
        </w:rPr>
        <w:t xml:space="preserve">4 </w:t>
      </w:r>
      <w:r w:rsidRPr="00890DB7">
        <w:rPr>
          <w:rFonts w:eastAsia="Times New Roman"/>
          <w:position w:val="0"/>
          <w:szCs w:val="20"/>
        </w:rPr>
        <w:tab/>
      </w:r>
      <w:r w:rsidRPr="00890DB7">
        <w:rPr>
          <w:rFonts w:eastAsia="Times New Roman"/>
          <w:i/>
          <w:position w:val="0"/>
          <w:szCs w:val="20"/>
        </w:rPr>
        <w:t>Words and structure</w:t>
      </w:r>
      <w:r w:rsidRPr="00890DB7">
        <w:rPr>
          <w:rFonts w:eastAsia="Times New Roman"/>
          <w:i/>
          <w:position w:val="0"/>
          <w:szCs w:val="20"/>
        </w:rPr>
        <w:t>s</w:t>
      </w:r>
      <w:r w:rsidRPr="00890DB7">
        <w:rPr>
          <w:rFonts w:eastAsia="Times New Roman"/>
          <w:position w:val="0"/>
          <w:szCs w:val="20"/>
        </w:rPr>
        <w:t xml:space="preserve"> are vocabulary and sentence patterns appropriate to this level. Refer to the revised </w:t>
      </w:r>
      <w:hyperlink r:id="rId8">
        <w:r w:rsidR="00890DB7" w:rsidRPr="00890DB7">
          <w:rPr>
            <w:rFonts w:eastAsia="Times New Roman"/>
            <w:position w:val="0"/>
            <w:szCs w:val="20"/>
          </w:rPr>
          <w:t>g</w:t>
        </w:r>
        <w:r w:rsidRPr="00890DB7">
          <w:rPr>
            <w:rFonts w:eastAsia="Times New Roman"/>
            <w:position w:val="0"/>
            <w:szCs w:val="20"/>
          </w:rPr>
          <w:t>rammar progression</w:t>
        </w:r>
      </w:hyperlink>
      <w:r w:rsidRPr="00890DB7">
        <w:rPr>
          <w:rFonts w:eastAsia="Times New Roman"/>
          <w:position w:val="0"/>
          <w:szCs w:val="20"/>
        </w:rPr>
        <w:t xml:space="preserve"> table.</w:t>
      </w:r>
    </w:p>
    <w:p w14:paraId="07122B00" w14:textId="77777777" w:rsidR="00104F47" w:rsidRPr="00890DB7" w:rsidRDefault="00104F47">
      <w:pPr>
        <w:ind w:left="0" w:hanging="2"/>
      </w:pPr>
    </w:p>
    <w:p w14:paraId="5F0844EA" w14:textId="5905FA07" w:rsidR="00104F47" w:rsidRPr="00890DB7" w:rsidRDefault="00540B81" w:rsidP="00890DB7">
      <w:pPr>
        <w:tabs>
          <w:tab w:val="num" w:pos="567"/>
        </w:tabs>
        <w:suppressAutoHyphens w:val="0"/>
        <w:spacing w:line="240" w:lineRule="auto"/>
        <w:ind w:leftChars="0" w:left="567" w:firstLineChars="0" w:hanging="567"/>
        <w:textAlignment w:val="auto"/>
        <w:outlineLvl w:val="9"/>
        <w:rPr>
          <w:rFonts w:eastAsia="Times New Roman"/>
          <w:position w:val="0"/>
          <w:szCs w:val="20"/>
        </w:rPr>
      </w:pPr>
      <w:r w:rsidRPr="00890DB7">
        <w:rPr>
          <w:rFonts w:eastAsia="Times New Roman"/>
          <w:position w:val="0"/>
          <w:szCs w:val="20"/>
        </w:rPr>
        <w:t xml:space="preserve">5 </w:t>
      </w:r>
      <w:r w:rsidRPr="00890DB7">
        <w:rPr>
          <w:rFonts w:eastAsia="Times New Roman"/>
          <w:position w:val="0"/>
          <w:szCs w:val="20"/>
        </w:rPr>
        <w:tab/>
      </w:r>
      <w:r w:rsidRPr="00890DB7">
        <w:rPr>
          <w:rFonts w:eastAsia="Times New Roman"/>
          <w:i/>
          <w:position w:val="0"/>
          <w:szCs w:val="20"/>
        </w:rPr>
        <w:t>Familiar contexts</w:t>
      </w:r>
      <w:r w:rsidRPr="00890DB7">
        <w:rPr>
          <w:rFonts w:eastAsia="Times New Roman"/>
          <w:position w:val="0"/>
          <w:szCs w:val="20"/>
        </w:rPr>
        <w:t xml:space="preserve"> are those context</w:t>
      </w:r>
      <w:r w:rsidRPr="00890DB7">
        <w:rPr>
          <w:rFonts w:eastAsia="Times New Roman"/>
          <w:position w:val="0"/>
          <w:szCs w:val="20"/>
        </w:rPr>
        <w:t>s that students interact with on a daily basis such as but not limited to: formal, informal, events (past and present).</w:t>
      </w:r>
    </w:p>
    <w:p w14:paraId="5B489B66" w14:textId="77777777" w:rsidR="00104F47" w:rsidRPr="00890DB7" w:rsidRDefault="00104F47">
      <w:pPr>
        <w:ind w:left="0" w:hanging="2"/>
      </w:pPr>
    </w:p>
    <w:p w14:paraId="0F5F7349" w14:textId="48F69146" w:rsidR="00104F47" w:rsidRPr="00890DB7" w:rsidRDefault="00540B81" w:rsidP="00890DB7">
      <w:pPr>
        <w:tabs>
          <w:tab w:val="num" w:pos="567"/>
        </w:tabs>
        <w:suppressAutoHyphens w:val="0"/>
        <w:spacing w:line="240" w:lineRule="auto"/>
        <w:ind w:leftChars="0" w:left="567" w:firstLineChars="0" w:hanging="567"/>
        <w:textAlignment w:val="auto"/>
        <w:outlineLvl w:val="9"/>
        <w:rPr>
          <w:rFonts w:eastAsia="Times New Roman"/>
          <w:position w:val="0"/>
          <w:szCs w:val="20"/>
        </w:rPr>
      </w:pPr>
      <w:r w:rsidRPr="00890DB7">
        <w:rPr>
          <w:rFonts w:eastAsia="Times New Roman"/>
          <w:position w:val="0"/>
          <w:szCs w:val="20"/>
        </w:rPr>
        <w:t>6</w:t>
      </w:r>
      <w:r w:rsidRPr="00890DB7">
        <w:rPr>
          <w:rFonts w:eastAsia="Times New Roman"/>
          <w:position w:val="0"/>
          <w:szCs w:val="20"/>
        </w:rPr>
        <w:tab/>
      </w:r>
      <w:r w:rsidRPr="00890DB7">
        <w:rPr>
          <w:rFonts w:eastAsia="Times New Roman"/>
          <w:i/>
          <w:position w:val="0"/>
          <w:szCs w:val="20"/>
        </w:rPr>
        <w:t>Errors</w:t>
      </w:r>
      <w:r w:rsidRPr="00890DB7">
        <w:rPr>
          <w:rFonts w:eastAsia="Times New Roman"/>
          <w:position w:val="0"/>
          <w:szCs w:val="20"/>
        </w:rPr>
        <w:t xml:space="preserve"> are mistakes which affect overall communication or clarity of message.</w:t>
      </w:r>
      <w:r w:rsidR="00890DB7">
        <w:rPr>
          <w:rFonts w:eastAsia="Times New Roman"/>
          <w:position w:val="0"/>
          <w:szCs w:val="20"/>
        </w:rPr>
        <w:t xml:space="preserve"> </w:t>
      </w:r>
      <w:r w:rsidRPr="00890DB7">
        <w:rPr>
          <w:rFonts w:eastAsia="Times New Roman"/>
          <w:position w:val="0"/>
          <w:szCs w:val="20"/>
        </w:rPr>
        <w:t>Examples include:</w:t>
      </w:r>
    </w:p>
    <w:p w14:paraId="5BD67483" w14:textId="77777777" w:rsidR="00104F47" w:rsidRDefault="00540B81">
      <w:pPr>
        <w:numPr>
          <w:ilvl w:val="0"/>
          <w:numId w:val="3"/>
        </w:numPr>
        <w:ind w:left="0" w:hanging="2"/>
      </w:pPr>
      <w:r>
        <w:t>word choice</w:t>
      </w:r>
    </w:p>
    <w:p w14:paraId="4D4099E2" w14:textId="77777777" w:rsidR="00104F47" w:rsidRDefault="00540B81">
      <w:pPr>
        <w:numPr>
          <w:ilvl w:val="0"/>
          <w:numId w:val="3"/>
        </w:numPr>
        <w:spacing w:before="0"/>
        <w:ind w:left="0" w:hanging="2"/>
      </w:pPr>
      <w:r>
        <w:t>sentence structure</w:t>
      </w:r>
    </w:p>
    <w:p w14:paraId="425C5A34" w14:textId="77777777" w:rsidR="00104F47" w:rsidRDefault="00540B81">
      <w:pPr>
        <w:numPr>
          <w:ilvl w:val="0"/>
          <w:numId w:val="3"/>
        </w:numPr>
        <w:spacing w:before="0"/>
        <w:ind w:left="0" w:hanging="2"/>
      </w:pPr>
      <w:bookmarkStart w:id="1" w:name="_heading=h.gjdgxs" w:colFirst="0" w:colLast="0"/>
      <w:bookmarkEnd w:id="1"/>
      <w:r>
        <w:t>pronunciation or intonation.</w:t>
      </w:r>
    </w:p>
    <w:p w14:paraId="6BFD5454" w14:textId="77777777" w:rsidR="00104F47" w:rsidRDefault="00104F47">
      <w:pPr>
        <w:ind w:left="0" w:hanging="2"/>
      </w:pPr>
    </w:p>
    <w:p w14:paraId="709919BE" w14:textId="77777777" w:rsidR="00104F47" w:rsidRDefault="00104F47">
      <w:pPr>
        <w:tabs>
          <w:tab w:val="left" w:pos="567"/>
        </w:tabs>
        <w:spacing w:before="0"/>
        <w:ind w:left="0" w:hanging="2"/>
      </w:pPr>
    </w:p>
    <w:p w14:paraId="3C7D7859" w14:textId="77777777" w:rsidR="00104F47" w:rsidRDefault="00104F47">
      <w:pPr>
        <w:keepNext/>
        <w:keepLines/>
        <w:pBdr>
          <w:top w:val="single" w:sz="4" w:space="1" w:color="000000"/>
        </w:pBdr>
        <w:spacing w:before="0"/>
        <w:ind w:left="0" w:hanging="2"/>
      </w:pPr>
    </w:p>
    <w:p w14:paraId="347EBE95" w14:textId="77777777" w:rsidR="00104F47" w:rsidRDefault="00540B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Quality Assurance </w:t>
      </w:r>
    </w:p>
    <w:p w14:paraId="7D622235" w14:textId="77777777" w:rsidR="00104F47" w:rsidRDefault="00104F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rPr>
          <w:color w:val="000000"/>
        </w:rPr>
      </w:pPr>
    </w:p>
    <w:p w14:paraId="38C7416B" w14:textId="77777777" w:rsidR="00104F47" w:rsidRDefault="00540B81">
      <w:pPr>
        <w:keepNext/>
        <w:keepLines/>
        <w:numPr>
          <w:ilvl w:val="0"/>
          <w:numId w:val="7"/>
        </w:numPr>
        <w:tabs>
          <w:tab w:val="left" w:pos="1134"/>
          <w:tab w:val="left" w:pos="1701"/>
          <w:tab w:val="left" w:pos="2268"/>
        </w:tabs>
        <w:spacing w:before="0"/>
        <w:ind w:left="0" w:hanging="2"/>
      </w:pPr>
      <w:r>
        <w:t>Providers and Industry Training Organisations must have been granted consent to assess by NZQA before they can register credits from assessment against achievement standards.</w:t>
      </w:r>
    </w:p>
    <w:p w14:paraId="4F256A94" w14:textId="77777777" w:rsidR="00104F47" w:rsidRDefault="00104F47">
      <w:pPr>
        <w:keepNext/>
        <w:keepLines/>
        <w:tabs>
          <w:tab w:val="left" w:pos="567"/>
          <w:tab w:val="left" w:pos="1134"/>
          <w:tab w:val="left" w:pos="1701"/>
          <w:tab w:val="left" w:pos="2268"/>
        </w:tabs>
        <w:spacing w:before="0"/>
        <w:ind w:left="0" w:hanging="2"/>
      </w:pPr>
    </w:p>
    <w:p w14:paraId="69769F42" w14:textId="77777777" w:rsidR="00104F47" w:rsidRDefault="00540B81">
      <w:pPr>
        <w:keepNext/>
        <w:keepLines/>
        <w:numPr>
          <w:ilvl w:val="0"/>
          <w:numId w:val="7"/>
        </w:numPr>
        <w:tabs>
          <w:tab w:val="left" w:pos="1134"/>
          <w:tab w:val="left" w:pos="1701"/>
          <w:tab w:val="left" w:pos="2268"/>
        </w:tabs>
        <w:spacing w:before="0"/>
        <w:ind w:left="0" w:hanging="2"/>
      </w:pPr>
      <w:r>
        <w:t xml:space="preserve">Organisations with consent to assess and Industry Training Organisations assessing against achievement standards must engage with the moderation system that applies to those achievement standards. </w:t>
      </w:r>
    </w:p>
    <w:p w14:paraId="06C88B9C" w14:textId="77777777" w:rsidR="00104F47" w:rsidRDefault="00104F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6A090F9" w14:textId="77777777" w:rsidR="00104F47" w:rsidRDefault="00540B81">
      <w:pPr>
        <w:keepNext/>
        <w:keepLines/>
        <w:tabs>
          <w:tab w:val="left" w:pos="1134"/>
          <w:tab w:val="left" w:pos="1701"/>
          <w:tab w:val="left" w:pos="2268"/>
        </w:tabs>
        <w:spacing w:before="0"/>
        <w:ind w:left="0" w:hanging="2"/>
      </w:pPr>
      <w:r>
        <w:t xml:space="preserve">Consent and Moderation Requirements (CMR) reference </w:t>
      </w:r>
      <w:r>
        <w:tab/>
      </w:r>
      <w:r>
        <w:tab/>
      </w:r>
      <w:r>
        <w:tab/>
        <w:t xml:space="preserve">  </w:t>
      </w:r>
      <w:r>
        <w:t>0233</w:t>
      </w:r>
    </w:p>
    <w:p w14:paraId="68E68E3A" w14:textId="77777777" w:rsidR="00104F47" w:rsidRDefault="00104F47">
      <w:pPr>
        <w:keepNext/>
        <w:keepLines/>
        <w:tabs>
          <w:tab w:val="left" w:pos="1134"/>
          <w:tab w:val="left" w:pos="1701"/>
          <w:tab w:val="left" w:pos="2268"/>
        </w:tabs>
        <w:spacing w:before="0"/>
        <w:ind w:left="0" w:hanging="2"/>
      </w:pPr>
    </w:p>
    <w:p w14:paraId="6FEB24E1" w14:textId="77777777" w:rsidR="00104F47" w:rsidRDefault="00104F47">
      <w:pPr>
        <w:keepNext/>
        <w:keepLines/>
        <w:tabs>
          <w:tab w:val="left" w:pos="567"/>
        </w:tabs>
        <w:spacing w:before="0"/>
        <w:ind w:left="0" w:hanging="2"/>
      </w:pPr>
    </w:p>
    <w:sectPr w:rsidR="00104F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369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71A6" w14:textId="77777777" w:rsidR="00540B81" w:rsidRDefault="00540B81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7BB8F9E6" w14:textId="77777777" w:rsidR="00540B81" w:rsidRDefault="00540B81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äori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F858" w14:textId="77777777" w:rsidR="00890DB7" w:rsidRDefault="00890DB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2B5E" w14:textId="77777777" w:rsidR="00104F47" w:rsidRDefault="00540B8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New Zealand Qualifications Authority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2318" w14:textId="77777777" w:rsidR="00890DB7" w:rsidRDefault="00890DB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D06A" w14:textId="77777777" w:rsidR="00540B81" w:rsidRDefault="00540B81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7BC3915B" w14:textId="77777777" w:rsidR="00540B81" w:rsidRDefault="00540B81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77CF" w14:textId="77777777" w:rsidR="00104F47" w:rsidRDefault="00104F47">
    <w:pPr>
      <w:ind w:left="0" w:hanging="2"/>
    </w:pPr>
  </w:p>
  <w:p w14:paraId="7A53F552" w14:textId="77777777" w:rsidR="00104F47" w:rsidRDefault="00104F47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B24E" w14:textId="77777777" w:rsidR="00104F47" w:rsidRDefault="00104F47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</w:pPr>
  </w:p>
  <w:tbl>
    <w:tblPr>
      <w:tblStyle w:val="a1"/>
      <w:tblW w:w="10173" w:type="dxa"/>
      <w:tblInd w:w="-108" w:type="dxa"/>
      <w:tblLayout w:type="fixed"/>
      <w:tblLook w:val="0000" w:firstRow="0" w:lastRow="0" w:firstColumn="0" w:lastColumn="0" w:noHBand="0" w:noVBand="0"/>
    </w:tblPr>
    <w:tblGrid>
      <w:gridCol w:w="1384"/>
      <w:gridCol w:w="2054"/>
      <w:gridCol w:w="1490"/>
      <w:gridCol w:w="2860"/>
      <w:gridCol w:w="2385"/>
    </w:tblGrid>
    <w:tr w:rsidR="00104F47" w14:paraId="1468B461" w14:textId="77777777">
      <w:tc>
        <w:tcPr>
          <w:tcW w:w="1384" w:type="dxa"/>
        </w:tcPr>
        <w:p w14:paraId="0C560A72" w14:textId="77777777" w:rsidR="00104F47" w:rsidRDefault="00540B81">
          <w:pPr>
            <w:ind w:left="0" w:hanging="2"/>
          </w:pPr>
          <w:r>
            <w:rPr>
              <w:b/>
            </w:rPr>
            <w:t>Number</w:t>
          </w:r>
        </w:p>
      </w:tc>
      <w:tc>
        <w:tcPr>
          <w:tcW w:w="2054" w:type="dxa"/>
        </w:tcPr>
        <w:p w14:paraId="5BDB730C" w14:textId="3E5BF200" w:rsidR="00104F47" w:rsidRDefault="00890DB7">
          <w:pPr>
            <w:ind w:left="0" w:hanging="2"/>
          </w:pPr>
          <w:r>
            <w:t>AS92095</w:t>
          </w:r>
        </w:p>
      </w:tc>
      <w:tc>
        <w:tcPr>
          <w:tcW w:w="1490" w:type="dxa"/>
        </w:tcPr>
        <w:p w14:paraId="0CD9746C" w14:textId="77777777" w:rsidR="00104F47" w:rsidRDefault="00540B81">
          <w:pPr>
            <w:ind w:left="0" w:hanging="2"/>
          </w:pPr>
          <w:r>
            <w:rPr>
              <w:b/>
            </w:rPr>
            <w:t>Version</w:t>
          </w:r>
        </w:p>
      </w:tc>
      <w:tc>
        <w:tcPr>
          <w:tcW w:w="2860" w:type="dxa"/>
        </w:tcPr>
        <w:p w14:paraId="0D5416C0" w14:textId="77777777" w:rsidR="00104F47" w:rsidRDefault="00104F47">
          <w:pPr>
            <w:ind w:left="0" w:hanging="2"/>
          </w:pPr>
        </w:p>
      </w:tc>
      <w:tc>
        <w:tcPr>
          <w:tcW w:w="2385" w:type="dxa"/>
        </w:tcPr>
        <w:p w14:paraId="6DF96A1C" w14:textId="77777777" w:rsidR="00104F47" w:rsidRDefault="00540B81">
          <w:pPr>
            <w:ind w:left="0" w:hanging="2"/>
            <w:jc w:val="right"/>
          </w:pPr>
          <w:r>
            <w:rPr>
              <w:b/>
            </w:rPr>
            <w:t>Page</w:t>
          </w:r>
          <w:r>
            <w:t xml:space="preserve"> </w:t>
          </w:r>
          <w:r>
            <w:fldChar w:fldCharType="begin"/>
          </w:r>
          <w:r>
            <w:instrText>PAGE</w:instrText>
          </w:r>
          <w:r w:rsidR="00890DB7">
            <w:fldChar w:fldCharType="separate"/>
          </w:r>
          <w:r w:rsidR="00890DB7">
            <w:rPr>
              <w:noProof/>
            </w:rPr>
            <w:t>1</w:t>
          </w:r>
          <w:r>
            <w:fldChar w:fldCharType="end"/>
          </w:r>
          <w:r>
            <w:t xml:space="preserve"> o te </w:t>
          </w:r>
          <w:r>
            <w:fldChar w:fldCharType="begin"/>
          </w:r>
          <w:r>
            <w:instrText>NUMPAGES</w:instrText>
          </w:r>
          <w:r w:rsidR="00890DB7">
            <w:fldChar w:fldCharType="separate"/>
          </w:r>
          <w:r w:rsidR="00890DB7">
            <w:rPr>
              <w:noProof/>
            </w:rPr>
            <w:t>1</w:t>
          </w:r>
          <w:r>
            <w:fldChar w:fldCharType="end"/>
          </w:r>
        </w:p>
      </w:tc>
    </w:tr>
  </w:tbl>
  <w:p w14:paraId="0FDC98A0" w14:textId="77777777" w:rsidR="00104F47" w:rsidRDefault="00104F4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0A42B" w14:textId="77777777" w:rsidR="00890DB7" w:rsidRDefault="00890DB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6E10"/>
    <w:multiLevelType w:val="multilevel"/>
    <w:tmpl w:val="4BCC20E4"/>
    <w:lvl w:ilvl="0">
      <w:start w:val="1"/>
      <w:numFmt w:val="bullet"/>
      <w:lvlText w:val="●"/>
      <w:lvlJc w:val="left"/>
      <w:pPr>
        <w:ind w:left="724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4" w:hanging="360"/>
      </w:pPr>
      <w:rPr>
        <w:strike w:val="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4" w:hanging="360"/>
      </w:pPr>
      <w:rPr>
        <w:strike w:val="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4" w:hanging="360"/>
      </w:pPr>
      <w:rPr>
        <w:strike w:val="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4" w:hanging="360"/>
      </w:pPr>
      <w:rPr>
        <w:strike w:val="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4" w:hanging="360"/>
      </w:pPr>
      <w:rPr>
        <w:strike w:val="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4" w:hanging="360"/>
      </w:pPr>
      <w:rPr>
        <w:strike w:val="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4" w:hanging="360"/>
      </w:pPr>
      <w:rPr>
        <w:strike w:val="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4" w:hanging="360"/>
      </w:pPr>
      <w:rPr>
        <w:strike w:val="0"/>
        <w:u w:val="none"/>
        <w:vertAlign w:val="baseline"/>
      </w:rPr>
    </w:lvl>
  </w:abstractNum>
  <w:abstractNum w:abstractNumId="1" w15:restartNumberingAfterBreak="0">
    <w:nsid w:val="1D2F4319"/>
    <w:multiLevelType w:val="multilevel"/>
    <w:tmpl w:val="BF86FA8E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0620A3"/>
    <w:multiLevelType w:val="multilevel"/>
    <w:tmpl w:val="69FA38CC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134" w:hanging="567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2">
      <w:start w:val="1"/>
      <w:numFmt w:val="bullet"/>
      <w:lvlText w:val="−"/>
      <w:lvlJc w:val="left"/>
      <w:pPr>
        <w:ind w:left="1417" w:hanging="283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lowerRoman"/>
      <w:lvlText w:val="%4"/>
      <w:lvlJc w:val="left"/>
      <w:pPr>
        <w:ind w:left="1417" w:hanging="283"/>
      </w:pPr>
      <w:rPr>
        <w:vertAlign w:val="baseline"/>
      </w:rPr>
    </w:lvl>
    <w:lvl w:ilvl="4">
      <w:start w:val="1"/>
      <w:numFmt w:val="bullet"/>
      <w:lvlText w:val="♦"/>
      <w:lvlJc w:val="left"/>
      <w:pPr>
        <w:ind w:left="1797" w:hanging="35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17" w:hanging="35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3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37" w:hanging="35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9BB1F49"/>
    <w:multiLevelType w:val="multilevel"/>
    <w:tmpl w:val="E4DC869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  <w:vertAlign w:val="baseline"/>
      </w:rPr>
    </w:lvl>
  </w:abstractNum>
  <w:abstractNum w:abstractNumId="4" w15:restartNumberingAfterBreak="0">
    <w:nsid w:val="2AD01D60"/>
    <w:multiLevelType w:val="multilevel"/>
    <w:tmpl w:val="3A1A80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5C45D48"/>
    <w:multiLevelType w:val="multilevel"/>
    <w:tmpl w:val="96CC81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9F56DF1"/>
    <w:multiLevelType w:val="multilevel"/>
    <w:tmpl w:val="2C02CFAA"/>
    <w:lvl w:ilvl="0">
      <w:start w:val="1"/>
      <w:numFmt w:val="decimal"/>
      <w:lvlText w:val="%1"/>
      <w:lvlJc w:val="left"/>
      <w:pPr>
        <w:ind w:left="567" w:hanging="567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134" w:hanging="56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701" w:hanging="567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lowerRoman"/>
      <w:lvlText w:val="%4"/>
      <w:lvlJc w:val="left"/>
      <w:pPr>
        <w:ind w:left="2268" w:hanging="566"/>
      </w:pPr>
      <w:rPr>
        <w:vertAlign w:val="baseline"/>
      </w:rPr>
    </w:lvl>
    <w:lvl w:ilvl="4">
      <w:start w:val="1"/>
      <w:numFmt w:val="bullet"/>
      <w:lvlText w:val="♦"/>
      <w:lvlJc w:val="left"/>
      <w:pPr>
        <w:ind w:left="1797" w:hanging="357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3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17" w:hanging="35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3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37" w:hanging="357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A513911"/>
    <w:multiLevelType w:val="multilevel"/>
    <w:tmpl w:val="EF0077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47"/>
    <w:rsid w:val="00104F47"/>
    <w:rsid w:val="00540B81"/>
    <w:rsid w:val="008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5596F"/>
  <w15:docId w15:val="{5199A8BA-920C-784F-9DA6-E64EE94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NZ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NZ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 Mäori" w:hAnsi="Arial Mäori"/>
      <w:b/>
      <w:kern w:val="28"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right="-1"/>
      <w:outlineLvl w:val="2"/>
    </w:pPr>
    <w:rPr>
      <w:rFonts w:ascii="Arial Mäori" w:hAnsi="Arial Mäori"/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pBdr>
        <w:top w:val="single" w:sz="4" w:space="1" w:color="auto"/>
      </w:pBdr>
      <w:spacing w:before="0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spacing w:before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Subtitle">
    <w:name w:val="Subtitle"/>
    <w:basedOn w:val="Normal"/>
    <w:uiPriority w:val="11"/>
    <w:qFormat/>
    <w:pPr>
      <w:spacing w:after="120"/>
    </w:pPr>
    <w:rPr>
      <w:rFonts w:ascii="Arial Mäori" w:eastAsia="Arial Mäori" w:hAnsi="Arial Mäori" w:cs="Arial Mäori"/>
      <w:b/>
      <w:color w:val="FF6600"/>
    </w:rPr>
  </w:style>
  <w:style w:type="paragraph" w:styleId="BodyTextIndent">
    <w:name w:val="Body Text Indent"/>
    <w:basedOn w:val="Normal"/>
    <w:pPr>
      <w:spacing w:before="0"/>
      <w:ind w:left="567"/>
    </w:pPr>
    <w:rPr>
      <w:lang w:val="en-US"/>
    </w:rPr>
  </w:style>
  <w:style w:type="paragraph" w:customStyle="1" w:styleId="AchievementStandardHeader">
    <w:name w:val="Achievement Standard Header"/>
    <w:basedOn w:val="Normal"/>
    <w:pPr>
      <w:jc w:val="center"/>
    </w:pPr>
    <w:rPr>
      <w:b/>
      <w:bCs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n-NZ" w:eastAsia="en-NZ" w:bidi="ar-SA"/>
    </w:rPr>
  </w:style>
  <w:style w:type="character" w:customStyle="1" w:styleId="Heading6Char">
    <w:name w:val="Heading 6 Ch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n-NZ" w:eastAsia="en-NZ" w:bidi="ar-SA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PlainText"/>
    <w:pPr>
      <w:numPr>
        <w:numId w:val="8"/>
      </w:numPr>
      <w:tabs>
        <w:tab w:val="num" w:pos="357"/>
        <w:tab w:val="left" w:pos="425"/>
      </w:tabs>
      <w:spacing w:before="0" w:line="320" w:lineRule="atLeast"/>
      <w:ind w:left="425" w:hanging="425"/>
    </w:pPr>
    <w:rPr>
      <w:rFonts w:ascii="Tahoma" w:hAnsi="Tahoma" w:cs="Times New Roman"/>
      <w:sz w:val="24"/>
      <w:lang w:eastAsia="en-US"/>
    </w:rPr>
  </w:style>
  <w:style w:type="paragraph" w:styleId="PlainText">
    <w:name w:val="Plain Text"/>
    <w:basedOn w:val="Normal"/>
    <w:qFormat/>
    <w:rPr>
      <w:rFonts w:ascii="Courier New" w:hAnsi="Courier New" w:cs="Courier New"/>
      <w:sz w:val="20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YJg3V192ZEgh-rsCnNGtgl9ijk3jZz_/view?usp=sha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BwFCxzMfK6TBqS/nB4XC8QE3+A==">AMUW2mXdihIqOE2AemeikRPSzdFvmXMDK1h4KPy4vLVMJuFdXE1GTjF5xs0gBbfQ3ZXC3Y27jIapOreKkQ8SqAt8z5/xqsBn8pt/4/p+45rv1II6DvDz5Pp2t2MU6fFoT4l9zIc0lW9U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2452</Characters>
  <Application>Microsoft Office Word</Application>
  <DocSecurity>0</DocSecurity>
  <Lines>37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 Qualifications Authority</dc:creator>
  <cp:lastModifiedBy>Ross Calman</cp:lastModifiedBy>
  <cp:revision>2</cp:revision>
  <dcterms:created xsi:type="dcterms:W3CDTF">2021-10-04T06:27:00Z</dcterms:created>
  <dcterms:modified xsi:type="dcterms:W3CDTF">2022-11-07T21:05:00Z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AchNonMathReg</vt:lpwstr>
  </property>
  <property fmtid="{D5CDD505-2E9C-101B-9397-08002B2CF9AE}" pid="3" name="_TemplateVersion">
    <vt:i4>1</vt:i4>
  </property>
  <property fmtid="{D5CDD505-2E9C-101B-9397-08002B2CF9AE}" pid="4" name="_TemplateLanguage">
    <vt:lpwstr>Maori</vt:lpwstr>
  </property>
</Properties>
</file>