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7963A76A" w:rsidR="001711BE" w:rsidRPr="001711BE" w:rsidRDefault="007579F7" w:rsidP="00FA6B57">
      <w:pPr>
        <w:pStyle w:val="Heading1"/>
        <w:spacing w:before="120"/>
        <w:ind w:left="0"/>
      </w:pPr>
      <w:r>
        <w:t xml:space="preserve">Science </w:t>
      </w:r>
      <w:r w:rsidR="00E8677B">
        <w:t xml:space="preserve">Assessment Schedule: </w:t>
      </w:r>
      <w:r w:rsidR="00E8677B" w:rsidRPr="001B22C6">
        <w:t xml:space="preserve">Assessment Activity </w:t>
      </w:r>
      <w:r w:rsidR="001872EE">
        <w:t>1</w:t>
      </w:r>
      <w:r w:rsidR="00E8677B" w:rsidRPr="001B22C6">
        <w:t>.</w:t>
      </w:r>
      <w:r w:rsidR="001872EE">
        <w:t>1</w:t>
      </w:r>
      <w:r w:rsidR="00E8677B" w:rsidRPr="001B22C6">
        <w:t>b</w:t>
      </w:r>
    </w:p>
    <w:p w14:paraId="3803CB25" w14:textId="2C509527" w:rsidR="001711BE" w:rsidRPr="0057097E" w:rsidRDefault="00873C0D" w:rsidP="003B5C73">
      <w:pPr>
        <w:pStyle w:val="Heading5"/>
        <w:rPr>
          <w:b w:val="0"/>
          <w:bCs/>
        </w:rPr>
      </w:pPr>
      <w:r w:rsidRPr="0057097E">
        <w:t>Activity Title:</w:t>
      </w:r>
      <w:r w:rsidR="0081712C" w:rsidRPr="0057097E">
        <w:rPr>
          <w:b w:val="0"/>
          <w:bCs/>
        </w:rPr>
        <w:t xml:space="preserve"> </w:t>
      </w:r>
      <w:r w:rsidR="001872EE" w:rsidRPr="001872EE">
        <w:rPr>
          <w:b w:val="0"/>
          <w:bCs/>
        </w:rPr>
        <w:t>Healthy waterways</w:t>
      </w:r>
    </w:p>
    <w:p w14:paraId="2B2F09EA" w14:textId="63773AFD" w:rsidR="00C8178E" w:rsidRPr="0057097E" w:rsidRDefault="00C8178E" w:rsidP="00D478E9">
      <w:pPr>
        <w:pStyle w:val="Heading5"/>
        <w:rPr>
          <w:b w:val="0"/>
          <w:bCs/>
        </w:rPr>
      </w:pPr>
      <w:r w:rsidRPr="0057097E">
        <w:t>Achievement Standard:</w:t>
      </w:r>
      <w:r w:rsidRPr="0057097E">
        <w:rPr>
          <w:b w:val="0"/>
          <w:bCs/>
        </w:rPr>
        <w:t xml:space="preserve"> </w:t>
      </w:r>
      <w:r w:rsidR="001872EE" w:rsidRPr="001872EE">
        <w:rPr>
          <w:b w:val="0"/>
          <w:bCs/>
        </w:rPr>
        <w:t>91920</w:t>
      </w:r>
      <w:r w:rsidR="00883354">
        <w:rPr>
          <w:b w:val="0"/>
          <w:bCs/>
        </w:rPr>
        <w:t xml:space="preserve"> </w:t>
      </w:r>
      <w:r w:rsidR="001872EE" w:rsidRPr="001872EE">
        <w:rPr>
          <w:b w:val="0"/>
          <w:bCs/>
        </w:rPr>
        <w:t>Demonstrate understanding of a science-informed response to a local issue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2C5F2D" w:themeColor="accent6"/>
              <w:bottom w:val="single" w:sz="12" w:space="0" w:color="2C5F2D" w:themeColor="accent6"/>
              <w:right w:val="single" w:sz="4" w:space="0" w:color="2C5F2D" w:themeColor="accent6"/>
            </w:tcBorders>
          </w:tcPr>
          <w:p w14:paraId="18154933" w14:textId="77777777" w:rsidR="00DD76C2" w:rsidRDefault="00DD76C2" w:rsidP="00122E87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2C5F2D" w:themeColor="accent6"/>
              <w:left w:val="single" w:sz="4" w:space="0" w:color="2C5F2D" w:themeColor="accent6"/>
              <w:bottom w:val="single" w:sz="12" w:space="0" w:color="2C5F2D" w:themeColor="accent6"/>
              <w:right w:val="single" w:sz="4" w:space="0" w:color="2C5F2D" w:themeColor="accent6"/>
            </w:tcBorders>
          </w:tcPr>
          <w:p w14:paraId="03A5FA14" w14:textId="77777777" w:rsidR="00DD76C2" w:rsidRDefault="00DD76C2" w:rsidP="00122E87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2C5F2D" w:themeColor="accent6"/>
              <w:left w:val="single" w:sz="4" w:space="0" w:color="2C5F2D" w:themeColor="accent6"/>
              <w:bottom w:val="single" w:sz="12" w:space="0" w:color="2C5F2D" w:themeColor="accent6"/>
            </w:tcBorders>
          </w:tcPr>
          <w:p w14:paraId="11778EDC" w14:textId="77777777" w:rsidR="00DD76C2" w:rsidRDefault="00DD76C2" w:rsidP="00122E87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2C5F2D" w:themeColor="accent6"/>
              <w:bottom w:val="single" w:sz="4" w:space="0" w:color="2C5F2D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1C5844" w:rsidRPr="001C5844" w14:paraId="6337AA8A" w14:textId="6FBF97DB" w:rsidTr="00860DDA">
        <w:trPr>
          <w:trHeight w:val="703"/>
        </w:trPr>
        <w:tc>
          <w:tcPr>
            <w:tcW w:w="3402" w:type="dxa"/>
            <w:tcBorders>
              <w:top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37261A24" w14:textId="57CB862A" w:rsidR="00914728" w:rsidRPr="001C5844" w:rsidRDefault="006D6DA2" w:rsidP="00860DDA">
            <w:pPr>
              <w:pStyle w:val="TableParagraph"/>
              <w:spacing w:after="120"/>
              <w:ind w:right="142"/>
            </w:pPr>
            <w:r w:rsidRPr="001C5844">
              <w:t xml:space="preserve">At the Achieved level, the student </w:t>
            </w:r>
            <w:proofErr w:type="gramStart"/>
            <w:r w:rsidRPr="001C5844">
              <w:t>is able to</w:t>
            </w:r>
            <w:proofErr w:type="gramEnd"/>
            <w:r w:rsidR="001872EE" w:rsidRPr="001C5844">
              <w:t xml:space="preserve"> demonstrate understanding of a science-informed response to a local issue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10FD5F24" w14:textId="35E6D6C5" w:rsidR="00914728" w:rsidRPr="001C5844" w:rsidRDefault="006D6DA2" w:rsidP="00860DDA">
            <w:pPr>
              <w:pStyle w:val="TableParagraph"/>
              <w:spacing w:after="120"/>
              <w:ind w:right="142"/>
            </w:pPr>
            <w:r w:rsidRPr="001C5844">
              <w:t xml:space="preserve">At the Merit level, the student </w:t>
            </w:r>
            <w:proofErr w:type="gramStart"/>
            <w:r w:rsidRPr="001C5844">
              <w:t>is able to</w:t>
            </w:r>
            <w:proofErr w:type="gramEnd"/>
            <w:r w:rsidR="001872EE" w:rsidRPr="001C5844">
              <w:t xml:space="preserve"> </w:t>
            </w:r>
            <w:r w:rsidR="001872EE" w:rsidRPr="001C5844">
              <w:rPr>
                <w:rFonts w:eastAsia="IBM Plex Serif"/>
              </w:rPr>
              <w:t>explain a science-informed response to a local issue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</w:tcBorders>
          </w:tcPr>
          <w:p w14:paraId="24319A55" w14:textId="73CA116A" w:rsidR="00914728" w:rsidRPr="001C5844" w:rsidRDefault="006D6DA2" w:rsidP="00860DDA">
            <w:pPr>
              <w:pStyle w:val="TableParagraph"/>
              <w:spacing w:after="120"/>
              <w:ind w:right="142"/>
            </w:pPr>
            <w:r w:rsidRPr="001C5844">
              <w:t xml:space="preserve">At the Excellence level, the student </w:t>
            </w:r>
            <w:proofErr w:type="gramStart"/>
            <w:r w:rsidRPr="001C5844">
              <w:t>is able to</w:t>
            </w:r>
            <w:proofErr w:type="gramEnd"/>
            <w:r w:rsidR="001872EE" w:rsidRPr="001C5844">
              <w:t xml:space="preserve"> </w:t>
            </w:r>
            <w:r w:rsidR="001872EE" w:rsidRPr="001C5844">
              <w:rPr>
                <w:rFonts w:eastAsia="IBM Plex Serif"/>
              </w:rPr>
              <w:t>analyse a science-informed response to a local issue</w:t>
            </w:r>
          </w:p>
        </w:tc>
      </w:tr>
      <w:tr w:rsidR="001C5844" w:rsidRPr="001C5844" w14:paraId="172FA78A" w14:textId="77777777" w:rsidTr="00122E87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2C5F2D" w:themeColor="accent6"/>
              <w:bottom w:val="single" w:sz="4" w:space="0" w:color="2C5F2D" w:themeColor="accent6"/>
            </w:tcBorders>
            <w:vAlign w:val="center"/>
          </w:tcPr>
          <w:p w14:paraId="3529946B" w14:textId="3E605D33" w:rsidR="003450E3" w:rsidRPr="001C5844" w:rsidRDefault="000D3DD2" w:rsidP="00122E87">
            <w:pPr>
              <w:pStyle w:val="TableParagraph"/>
              <w:spacing w:after="120"/>
              <w:ind w:right="142"/>
            </w:pPr>
            <w:r w:rsidRPr="001C5844">
              <w:t>For all levels of achievement, t</w:t>
            </w:r>
            <w:r w:rsidR="003450E3" w:rsidRPr="001C5844">
              <w:t xml:space="preserve">he student </w:t>
            </w:r>
            <w:proofErr w:type="gramStart"/>
            <w:r w:rsidR="003450E3" w:rsidRPr="001C5844">
              <w:t>is able to</w:t>
            </w:r>
            <w:proofErr w:type="gramEnd"/>
            <w:r w:rsidR="001872EE" w:rsidRPr="001C5844">
              <w:rPr>
                <w:rFonts w:eastAsia="Calibri"/>
              </w:rPr>
              <w:t xml:space="preserve"> provide evidence that shows understanding of tiakitanga in the context of responsible science practice in a local issue.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2C5F2D" w:themeColor="accent6"/>
              <w:bottom w:val="single" w:sz="4" w:space="0" w:color="2C5F2D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1C5844" w:rsidRPr="001C5844" w14:paraId="73BA4CB5" w14:textId="77777777" w:rsidTr="00612431">
        <w:trPr>
          <w:cantSplit/>
        </w:trPr>
        <w:tc>
          <w:tcPr>
            <w:tcW w:w="3402" w:type="dxa"/>
            <w:tcBorders>
              <w:top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4AAD2DEE" w14:textId="2DA0EA93" w:rsidR="00914728" w:rsidRPr="001C5844" w:rsidRDefault="000535D2" w:rsidP="00C56AA7">
            <w:pPr>
              <w:pStyle w:val="TableParagraph"/>
              <w:ind w:right="144"/>
            </w:pPr>
            <w:r w:rsidRPr="001C5844">
              <w:t xml:space="preserve">At the Achieved level, the student </w:t>
            </w:r>
            <w:proofErr w:type="gramStart"/>
            <w:r w:rsidRPr="001C5844">
              <w:t>is able to</w:t>
            </w:r>
            <w:proofErr w:type="gramEnd"/>
            <w:r w:rsidR="00914728" w:rsidRPr="001C5844">
              <w:t>:</w:t>
            </w:r>
          </w:p>
          <w:p w14:paraId="0E6E3389" w14:textId="77777777" w:rsidR="008F503B" w:rsidRPr="001C5844" w:rsidRDefault="008F503B" w:rsidP="001C5844">
            <w:pPr>
              <w:pStyle w:val="Bullet"/>
            </w:pPr>
            <w:r w:rsidRPr="001C5844">
              <w:t>describe a science idea that informs a science perspective involved in an issue related to the context of healthy waterways</w:t>
            </w:r>
          </w:p>
          <w:p w14:paraId="34BBC28C" w14:textId="77777777" w:rsidR="008F503B" w:rsidRPr="001C5844" w:rsidRDefault="008F503B" w:rsidP="008F503B">
            <w:pPr>
              <w:pStyle w:val="Bullet"/>
            </w:pPr>
            <w:r w:rsidRPr="001C5844">
              <w:t>present another perspective on the issue relating to healthy waterways</w:t>
            </w:r>
          </w:p>
          <w:p w14:paraId="0070ED87" w14:textId="55B602E7" w:rsidR="00914728" w:rsidRPr="001C5844" w:rsidRDefault="008F503B" w:rsidP="008F503B">
            <w:pPr>
              <w:pStyle w:val="Bullet"/>
            </w:pPr>
            <w:r w:rsidRPr="001C5844">
              <w:t>describe a response to the issue (their own or that of others) that has used science as its basis.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7EC66AF4" w14:textId="35AC5E18" w:rsidR="00914728" w:rsidRPr="001C5844" w:rsidRDefault="00F6485A" w:rsidP="00DF25AD">
            <w:pPr>
              <w:pStyle w:val="TableParagraph"/>
            </w:pPr>
            <w:r w:rsidRPr="001C5844">
              <w:t xml:space="preserve">At the Merit level, the student </w:t>
            </w:r>
            <w:proofErr w:type="gramStart"/>
            <w:r w:rsidRPr="001C5844">
              <w:t>is able to</w:t>
            </w:r>
            <w:proofErr w:type="gramEnd"/>
            <w:r w:rsidR="00914728" w:rsidRPr="001C5844">
              <w:t>:</w:t>
            </w:r>
          </w:p>
          <w:p w14:paraId="47E99F8D" w14:textId="77777777" w:rsidR="008F503B" w:rsidRPr="001C5844" w:rsidRDefault="008F503B" w:rsidP="008F503B">
            <w:pPr>
              <w:pStyle w:val="Bullet"/>
            </w:pPr>
            <w:r w:rsidRPr="001C5844">
              <w:t>explain the science idea that informs the science perspective relevant to the issue, in the context of healthy waterways</w:t>
            </w:r>
          </w:p>
          <w:p w14:paraId="689ABC69" w14:textId="77777777" w:rsidR="008F503B" w:rsidRPr="001C5844" w:rsidRDefault="008F503B" w:rsidP="008F503B">
            <w:pPr>
              <w:pStyle w:val="Bullet"/>
            </w:pPr>
            <w:r w:rsidRPr="001C5844">
              <w:t>explain the other identified perspective relevant to the issue</w:t>
            </w:r>
          </w:p>
          <w:p w14:paraId="07550D11" w14:textId="133B0055" w:rsidR="00914728" w:rsidRPr="001C5844" w:rsidRDefault="008F503B" w:rsidP="008F503B">
            <w:pPr>
              <w:pStyle w:val="Bullet"/>
            </w:pPr>
            <w:r w:rsidRPr="001C5844">
              <w:t>explain a science-informed response to the issue</w:t>
            </w:r>
            <w:r w:rsidRPr="001C5844">
              <w:rPr>
                <w:lang w:eastAsia="en-NZ"/>
              </w:rPr>
              <w:t>.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</w:tcBorders>
          </w:tcPr>
          <w:p w14:paraId="32AFC732" w14:textId="10F47AC4" w:rsidR="00914728" w:rsidRPr="001C5844" w:rsidRDefault="00A55917" w:rsidP="00C56AA7">
            <w:pPr>
              <w:pStyle w:val="TableParagraph"/>
              <w:ind w:right="135"/>
            </w:pPr>
            <w:r w:rsidRPr="001C5844">
              <w:t xml:space="preserve">At the Excellence level, the student </w:t>
            </w:r>
            <w:proofErr w:type="gramStart"/>
            <w:r w:rsidRPr="001C5844">
              <w:t>is able to</w:t>
            </w:r>
            <w:proofErr w:type="gramEnd"/>
            <w:r w:rsidR="00914728" w:rsidRPr="001C5844">
              <w:t>:</w:t>
            </w:r>
          </w:p>
          <w:p w14:paraId="64E3016B" w14:textId="767448DA" w:rsidR="00914728" w:rsidRPr="001C5844" w:rsidRDefault="008F503B" w:rsidP="00961BC1">
            <w:pPr>
              <w:pStyle w:val="Bullet"/>
            </w:pPr>
            <w:r w:rsidRPr="001C5844">
              <w:t>discuss the importance of the science-informed perspective and the other perspective in response to the issue.</w:t>
            </w:r>
          </w:p>
        </w:tc>
      </w:tr>
      <w:tr w:rsidR="001C5844" w:rsidRPr="001C5844" w14:paraId="586AF9F1" w14:textId="77777777" w:rsidTr="00122E87">
        <w:trPr>
          <w:cantSplit/>
        </w:trPr>
        <w:tc>
          <w:tcPr>
            <w:tcW w:w="10206" w:type="dxa"/>
            <w:gridSpan w:val="3"/>
            <w:tcBorders>
              <w:top w:val="single" w:sz="4" w:space="0" w:color="2C5F2D" w:themeColor="accent6"/>
              <w:bottom w:val="single" w:sz="4" w:space="0" w:color="2C5F2D" w:themeColor="accent6"/>
            </w:tcBorders>
          </w:tcPr>
          <w:p w14:paraId="22BA1958" w14:textId="0ED54B25" w:rsidR="003052A3" w:rsidRPr="001C5844" w:rsidRDefault="00976CFB" w:rsidP="002120CF">
            <w:pPr>
              <w:pStyle w:val="TableParagraph"/>
              <w:spacing w:after="120"/>
            </w:pPr>
            <w:r w:rsidRPr="001C5844">
              <w:t>At all levels</w:t>
            </w:r>
            <w:r w:rsidR="002120CF" w:rsidRPr="001C5844">
              <w:t>,</w:t>
            </w:r>
            <w:r w:rsidRPr="001C5844">
              <w:t xml:space="preserve"> the student </w:t>
            </w:r>
            <w:proofErr w:type="gramStart"/>
            <w:r w:rsidRPr="001C5844">
              <w:t xml:space="preserve">is able </w:t>
            </w:r>
            <w:r w:rsidR="001872EE" w:rsidRPr="001C5844">
              <w:rPr>
                <w:rFonts w:eastAsia="Calibri"/>
              </w:rPr>
              <w:t>to</w:t>
            </w:r>
            <w:proofErr w:type="gramEnd"/>
            <w:r w:rsidR="001872EE" w:rsidRPr="001C5844">
              <w:rPr>
                <w:rFonts w:eastAsia="Calibri"/>
              </w:rPr>
              <w:t xml:space="preserve"> provide evidence that shows understanding of tiakitanga in the context of responsible science practice in a local issue relating to a waterway.</w:t>
            </w:r>
          </w:p>
        </w:tc>
      </w:tr>
    </w:tbl>
    <w:p w14:paraId="520FCA49" w14:textId="77777777" w:rsidR="00CF7342" w:rsidRPr="001C5844" w:rsidRDefault="00CF7342" w:rsidP="00CF7342">
      <w:pPr>
        <w:spacing w:before="360"/>
        <w:rPr>
          <w:sz w:val="20"/>
          <w:szCs w:val="20"/>
        </w:rPr>
      </w:pPr>
      <w:r w:rsidRPr="001C5844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09727CEE" w14:textId="77777777" w:rsidR="00390110" w:rsidRPr="001C5844" w:rsidRDefault="00390110">
      <w:pPr>
        <w:spacing w:before="0"/>
      </w:pPr>
      <w:r w:rsidRPr="001C5844">
        <w:br w:type="page"/>
      </w:r>
    </w:p>
    <w:p w14:paraId="68C71484" w14:textId="77777777" w:rsidR="004D16D7" w:rsidRDefault="004D16D7" w:rsidP="004D16D7">
      <w:pPr>
        <w:spacing w:before="180" w:after="180"/>
        <w:rPr>
          <w:color w:val="231F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CD2314" w14:paraId="0AB03A5F" w14:textId="77777777" w:rsidTr="0DDD36BF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2C5F2D" w:themeColor="accent6"/>
              <w:bottom w:val="single" w:sz="4" w:space="0" w:color="2C5F2D" w:themeColor="accent6"/>
            </w:tcBorders>
            <w:vAlign w:val="center"/>
          </w:tcPr>
          <w:p w14:paraId="17EA183A" w14:textId="2D9EAF0E" w:rsidR="00CD2314" w:rsidRDefault="00CD2314" w:rsidP="00947E05">
            <w:pPr>
              <w:pStyle w:val="TableHeading"/>
              <w:ind w:right="136"/>
            </w:pPr>
            <w:r>
              <w:t>For example</w:t>
            </w:r>
            <w:r w:rsidR="004A6CAA" w:rsidRPr="00E564AC">
              <w:rPr>
                <w:b w:val="0"/>
                <w:bCs/>
              </w:rPr>
              <w:t xml:space="preserve"> </w:t>
            </w:r>
            <w:r w:rsidR="00205B21" w:rsidRPr="00E564AC">
              <w:rPr>
                <w:b w:val="0"/>
                <w:bCs/>
              </w:rPr>
              <w:t>(d</w:t>
            </w:r>
            <w:r w:rsidRPr="00E564AC">
              <w:rPr>
                <w:b w:val="0"/>
                <w:bCs/>
              </w:rPr>
              <w:t xml:space="preserve">escription of possible student </w:t>
            </w:r>
            <w:r w:rsidR="00616C81">
              <w:rPr>
                <w:b w:val="0"/>
                <w:bCs/>
                <w:lang w:val="en-NZ"/>
              </w:rPr>
              <w:t>evidence</w:t>
            </w:r>
            <w:r w:rsidR="00616C81" w:rsidRPr="00E564AC">
              <w:rPr>
                <w:b w:val="0"/>
                <w:bCs/>
              </w:rPr>
              <w:t xml:space="preserve"> </w:t>
            </w:r>
            <w:r w:rsidR="00616C81">
              <w:rPr>
                <w:b w:val="0"/>
                <w:bCs/>
              </w:rPr>
              <w:t>for</w:t>
            </w:r>
            <w:r w:rsidRPr="00E564AC">
              <w:rPr>
                <w:b w:val="0"/>
                <w:bCs/>
              </w:rPr>
              <w:t xml:space="preserve"> this</w:t>
            </w:r>
            <w:r w:rsidR="00205B21" w:rsidRPr="00E564AC">
              <w:rPr>
                <w:b w:val="0"/>
                <w:bCs/>
              </w:rPr>
              <w:t xml:space="preserve"> activity)</w:t>
            </w:r>
          </w:p>
        </w:tc>
      </w:tr>
      <w:tr w:rsidR="00075DCA" w14:paraId="7C535A82" w14:textId="77777777" w:rsidTr="0DDD36BF">
        <w:trPr>
          <w:trHeight w:val="499"/>
        </w:trPr>
        <w:tc>
          <w:tcPr>
            <w:tcW w:w="3402" w:type="dxa"/>
            <w:tcBorders>
              <w:top w:val="single" w:sz="12" w:space="0" w:color="2C5F2D" w:themeColor="accent6"/>
              <w:bottom w:val="single" w:sz="12" w:space="0" w:color="2C5F2D" w:themeColor="accent6"/>
              <w:right w:val="single" w:sz="4" w:space="0" w:color="2C5F2D" w:themeColor="accent6"/>
            </w:tcBorders>
          </w:tcPr>
          <w:p w14:paraId="557DE2D0" w14:textId="77777777" w:rsidR="00075DCA" w:rsidRDefault="00075DCA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2C5F2D" w:themeColor="accent6"/>
              <w:left w:val="single" w:sz="4" w:space="0" w:color="2C5F2D" w:themeColor="accent6"/>
              <w:bottom w:val="single" w:sz="12" w:space="0" w:color="2C5F2D" w:themeColor="accent6"/>
              <w:right w:val="single" w:sz="4" w:space="0" w:color="2C5F2D" w:themeColor="accent6"/>
            </w:tcBorders>
          </w:tcPr>
          <w:p w14:paraId="59731EE0" w14:textId="77777777" w:rsidR="00075DCA" w:rsidRDefault="00075DCA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2C5F2D" w:themeColor="accent6"/>
              <w:left w:val="single" w:sz="4" w:space="0" w:color="2C5F2D" w:themeColor="accent6"/>
              <w:bottom w:val="single" w:sz="12" w:space="0" w:color="2C5F2D" w:themeColor="accent6"/>
            </w:tcBorders>
          </w:tcPr>
          <w:p w14:paraId="307464FF" w14:textId="77777777" w:rsidR="00075DCA" w:rsidRDefault="00075DCA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1C5844" w:rsidRPr="001C5844" w14:paraId="05173BEC" w14:textId="77777777" w:rsidTr="0DDD36BF">
        <w:tc>
          <w:tcPr>
            <w:tcW w:w="3402" w:type="dxa"/>
            <w:tcBorders>
              <w:top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3DECA1FA" w14:textId="49D83D18" w:rsidR="00914728" w:rsidRPr="001C5844" w:rsidRDefault="00566ADE" w:rsidP="00C56AA7">
            <w:pPr>
              <w:pStyle w:val="TableParagraph"/>
              <w:ind w:right="144"/>
            </w:pPr>
            <w:r w:rsidRPr="001C5844">
              <w:t xml:space="preserve">At the </w:t>
            </w:r>
            <w:r w:rsidR="00821253" w:rsidRPr="001C5844">
              <w:t>A</w:t>
            </w:r>
            <w:r w:rsidRPr="001C5844">
              <w:t>chieved level, t</w:t>
            </w:r>
            <w:r w:rsidR="00914728" w:rsidRPr="001C5844">
              <w:t>he student has:</w:t>
            </w:r>
          </w:p>
          <w:p w14:paraId="4496B38F" w14:textId="6A90C94F" w:rsidR="008F503B" w:rsidRPr="001C5844" w:rsidRDefault="008F503B" w:rsidP="008F503B">
            <w:pPr>
              <w:pStyle w:val="Bullet"/>
            </w:pPr>
            <w:r w:rsidRPr="001C5844">
              <w:t xml:space="preserve">used a science idea that informs a science perspective on a local issue, in the context of waterway health. </w:t>
            </w:r>
            <w:r w:rsidRPr="001C5844">
              <w:rPr>
                <w:i/>
                <w:iCs/>
              </w:rPr>
              <w:t>For example, how indicator species or nutrient levels are used to signal a change in waterway health. A science perspective could involve monitoring indicator species or nutrient levels linked to the health of the waterway. A potential local issue could involve pollutants decreasing waterway health</w:t>
            </w:r>
            <w:r w:rsidR="00002719" w:rsidRPr="001C5844">
              <w:t>.</w:t>
            </w:r>
          </w:p>
          <w:p w14:paraId="69F18ACB" w14:textId="097F0FE0" w:rsidR="008F503B" w:rsidRPr="001C5844" w:rsidRDefault="008F503B" w:rsidP="008F503B">
            <w:pPr>
              <w:pStyle w:val="Bullet"/>
            </w:pPr>
            <w:r w:rsidRPr="001C5844">
              <w:t xml:space="preserve">outlined another perspective from an identifiable group. </w:t>
            </w:r>
            <w:r w:rsidRPr="001C5844">
              <w:rPr>
                <w:i/>
                <w:iCs/>
              </w:rPr>
              <w:t xml:space="preserve">For example, mātauranga Māori via a lens of </w:t>
            </w:r>
            <w:proofErr w:type="spellStart"/>
            <w:r w:rsidRPr="001C5844">
              <w:rPr>
                <w:i/>
                <w:iCs/>
              </w:rPr>
              <w:t>tu</w:t>
            </w:r>
            <w:proofErr w:type="spellEnd"/>
            <w:r w:rsidRPr="001C5844">
              <w:rPr>
                <w:i/>
                <w:iCs/>
              </w:rPr>
              <w:t xml:space="preserve"> </w:t>
            </w:r>
            <w:proofErr w:type="spellStart"/>
            <w:r w:rsidRPr="001C5844">
              <w:rPr>
                <w:i/>
                <w:iCs/>
              </w:rPr>
              <w:t>honongā</w:t>
            </w:r>
            <w:proofErr w:type="spellEnd"/>
            <w:r w:rsidRPr="001C5844">
              <w:rPr>
                <w:i/>
                <w:iCs/>
              </w:rPr>
              <w:t xml:space="preserve"> to </w:t>
            </w:r>
            <w:proofErr w:type="spellStart"/>
            <w:r w:rsidRPr="001C5844">
              <w:rPr>
                <w:i/>
                <w:iCs/>
              </w:rPr>
              <w:t>recognise</w:t>
            </w:r>
            <w:proofErr w:type="spellEnd"/>
            <w:r w:rsidRPr="001C5844">
              <w:rPr>
                <w:i/>
                <w:iCs/>
              </w:rPr>
              <w:t xml:space="preserve"> interconnections of the living and non-living parts of the waterway that inform the health of the waterway</w:t>
            </w:r>
            <w:r w:rsidR="00002719" w:rsidRPr="001C5844">
              <w:rPr>
                <w:i/>
                <w:iCs/>
              </w:rPr>
              <w:t>.</w:t>
            </w:r>
          </w:p>
          <w:p w14:paraId="57B4A34D" w14:textId="5B027CEA" w:rsidR="00865FA5" w:rsidRPr="001C5844" w:rsidRDefault="008F503B" w:rsidP="3520920C">
            <w:pPr>
              <w:pStyle w:val="Bullet"/>
              <w:rPr>
                <w:i/>
                <w:iCs/>
              </w:rPr>
            </w:pPr>
            <w:r w:rsidRPr="001C5844">
              <w:t xml:space="preserve">identified a science-informed response to where science ideas have been used for approaches to waterway management. </w:t>
            </w:r>
            <w:r w:rsidRPr="001C5844">
              <w:rPr>
                <w:i/>
                <w:iCs/>
              </w:rPr>
              <w:t>For example, described why decision makers monitor nutrient levels in local waterways</w:t>
            </w:r>
            <w:r w:rsidR="00002719" w:rsidRPr="001C5844">
              <w:rPr>
                <w:i/>
                <w:iCs/>
              </w:rPr>
              <w:t>.</w:t>
            </w:r>
          </w:p>
          <w:p w14:paraId="69F6E3CC" w14:textId="37926DCE" w:rsidR="00865FA5" w:rsidRPr="001C5844" w:rsidRDefault="20AB63F0" w:rsidP="3520920C">
            <w:pPr>
              <w:pStyle w:val="Bullet"/>
              <w:rPr>
                <w:i/>
                <w:iCs/>
              </w:rPr>
            </w:pPr>
            <w:r w:rsidRPr="001C5844">
              <w:t>shown</w:t>
            </w:r>
            <w:r w:rsidR="708240AC" w:rsidRPr="001C5844">
              <w:t xml:space="preserve"> understanding of tiakitanga to </w:t>
            </w:r>
            <w:r w:rsidR="05D9CE3A" w:rsidRPr="001C5844">
              <w:t>recognise responsible science practice</w:t>
            </w:r>
            <w:r w:rsidR="3F124831" w:rsidRPr="001C5844">
              <w:t xml:space="preserve"> for maintaining the heath of</w:t>
            </w:r>
            <w:r w:rsidR="05D9CE3A" w:rsidRPr="001C5844">
              <w:t xml:space="preserve"> </w:t>
            </w:r>
            <w:r w:rsidR="007A1AAD" w:rsidRPr="001C5844">
              <w:t xml:space="preserve">a </w:t>
            </w:r>
            <w:r w:rsidR="05D9CE3A" w:rsidRPr="001C5844">
              <w:t>local waterway</w:t>
            </w:r>
            <w:r w:rsidR="004D5131" w:rsidRPr="001C5844">
              <w:t xml:space="preserve">. </w:t>
            </w:r>
            <w:r w:rsidR="708240AC" w:rsidRPr="001C5844">
              <w:rPr>
                <w:i/>
                <w:iCs/>
              </w:rPr>
              <w:t>For example,</w:t>
            </w:r>
            <w:r w:rsidR="008F503B" w:rsidRPr="001C5844">
              <w:rPr>
                <w:i/>
                <w:iCs/>
              </w:rPr>
              <w:t xml:space="preserve"> </w:t>
            </w:r>
            <w:r w:rsidR="652C40D2" w:rsidRPr="001C5844">
              <w:rPr>
                <w:i/>
                <w:iCs/>
              </w:rPr>
              <w:t xml:space="preserve">described taking care or guardianship of a waterway by using examples of </w:t>
            </w:r>
            <w:r w:rsidR="144DC39F" w:rsidRPr="001C5844">
              <w:rPr>
                <w:i/>
                <w:iCs/>
              </w:rPr>
              <w:t>ways science</w:t>
            </w:r>
            <w:r w:rsidR="6B079C58" w:rsidRPr="001C5844">
              <w:rPr>
                <w:i/>
                <w:iCs/>
              </w:rPr>
              <w:t xml:space="preserve"> practices</w:t>
            </w:r>
            <w:r w:rsidR="144DC39F" w:rsidRPr="001C5844">
              <w:rPr>
                <w:i/>
                <w:iCs/>
              </w:rPr>
              <w:t xml:space="preserve"> may monitor the waterway for ecosystem </w:t>
            </w:r>
            <w:r w:rsidR="144DC39F" w:rsidRPr="001C5844">
              <w:rPr>
                <w:i/>
                <w:iCs/>
              </w:rPr>
              <w:lastRenderedPageBreak/>
              <w:t>health, water quality</w:t>
            </w:r>
            <w:r w:rsidR="064FC742" w:rsidRPr="001C5844">
              <w:rPr>
                <w:i/>
                <w:iCs/>
              </w:rPr>
              <w:t>, insights</w:t>
            </w:r>
            <w:r w:rsidR="144DC39F" w:rsidRPr="001C5844">
              <w:rPr>
                <w:i/>
                <w:iCs/>
              </w:rPr>
              <w:t xml:space="preserve"> into a holistic view </w:t>
            </w:r>
            <w:r w:rsidR="7DB72D62" w:rsidRPr="001C5844">
              <w:rPr>
                <w:i/>
                <w:iCs/>
              </w:rPr>
              <w:t>of</w:t>
            </w:r>
            <w:r w:rsidR="144DC39F" w:rsidRPr="001C5844">
              <w:rPr>
                <w:i/>
                <w:iCs/>
              </w:rPr>
              <w:t xml:space="preserve"> the entire waterway system and </w:t>
            </w:r>
            <w:r w:rsidR="73A03637" w:rsidRPr="001C5844">
              <w:rPr>
                <w:i/>
                <w:iCs/>
              </w:rPr>
              <w:t>broader</w:t>
            </w:r>
            <w:r w:rsidR="144DC39F" w:rsidRPr="001C5844">
              <w:rPr>
                <w:i/>
                <w:iCs/>
              </w:rPr>
              <w:t xml:space="preserve"> </w:t>
            </w:r>
            <w:r w:rsidR="64FD1AD2" w:rsidRPr="001C5844">
              <w:rPr>
                <w:i/>
                <w:iCs/>
              </w:rPr>
              <w:t>environment</w:t>
            </w:r>
            <w:r w:rsidR="658E8F85" w:rsidRPr="001C5844">
              <w:rPr>
                <w:i/>
                <w:iCs/>
              </w:rPr>
              <w:t xml:space="preserve"> or take corrective actions when </w:t>
            </w:r>
            <w:r w:rsidR="2C62B727" w:rsidRPr="001C5844">
              <w:rPr>
                <w:i/>
                <w:iCs/>
              </w:rPr>
              <w:t>necessary</w:t>
            </w:r>
            <w:r w:rsidR="29AC818A" w:rsidRPr="001C5844">
              <w:rPr>
                <w:i/>
                <w:iCs/>
              </w:rPr>
              <w:t>.</w:t>
            </w:r>
            <w:r w:rsidR="658E8F85" w:rsidRPr="001C5844">
              <w:rPr>
                <w:i/>
                <w:iCs/>
              </w:rPr>
              <w:t xml:space="preserve"> </w:t>
            </w:r>
            <w:r w:rsidR="4974A5E5" w:rsidRPr="001C5844">
              <w:rPr>
                <w:i/>
                <w:iCs/>
              </w:rPr>
              <w:t>L</w:t>
            </w:r>
            <w:r w:rsidR="658E8F85" w:rsidRPr="001C5844">
              <w:rPr>
                <w:i/>
                <w:iCs/>
              </w:rPr>
              <w:t xml:space="preserve">inking </w:t>
            </w:r>
            <w:r w:rsidR="46D0083B" w:rsidRPr="001C5844">
              <w:rPr>
                <w:i/>
                <w:iCs/>
              </w:rPr>
              <w:t>science practice</w:t>
            </w:r>
            <w:r w:rsidR="658E8F85" w:rsidRPr="001C5844">
              <w:rPr>
                <w:i/>
                <w:iCs/>
              </w:rPr>
              <w:t xml:space="preserve"> to taking </w:t>
            </w:r>
            <w:r w:rsidR="3C5C1294" w:rsidRPr="001C5844">
              <w:rPr>
                <w:i/>
                <w:iCs/>
              </w:rPr>
              <w:t>care of</w:t>
            </w:r>
            <w:r w:rsidR="658E8F85" w:rsidRPr="001C5844">
              <w:rPr>
                <w:i/>
                <w:iCs/>
              </w:rPr>
              <w:t xml:space="preserve"> or guardianshi</w:t>
            </w:r>
            <w:r w:rsidR="3F692207" w:rsidRPr="001C5844">
              <w:rPr>
                <w:i/>
                <w:iCs/>
              </w:rPr>
              <w:t xml:space="preserve">p of the waterway. 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  <w:right w:val="single" w:sz="4" w:space="0" w:color="2C5F2D" w:themeColor="accent6"/>
            </w:tcBorders>
          </w:tcPr>
          <w:p w14:paraId="101F74C5" w14:textId="2ABFD724" w:rsidR="00914728" w:rsidRPr="001C5844" w:rsidRDefault="00566ADE" w:rsidP="00DF25AD">
            <w:pPr>
              <w:pStyle w:val="TableParagraph"/>
            </w:pPr>
            <w:r w:rsidRPr="001C5844">
              <w:lastRenderedPageBreak/>
              <w:t>At the Merit level, t</w:t>
            </w:r>
            <w:r w:rsidR="00914728" w:rsidRPr="001C5844">
              <w:t>he student has:</w:t>
            </w:r>
          </w:p>
          <w:p w14:paraId="32CD9CEE" w14:textId="1AAE77F1" w:rsidR="008F503B" w:rsidRPr="001C5844" w:rsidRDefault="008F503B" w:rsidP="008F503B">
            <w:pPr>
              <w:pStyle w:val="Bullet"/>
            </w:pPr>
            <w:r w:rsidRPr="001C5844">
              <w:t xml:space="preserve">explained the science idea. </w:t>
            </w:r>
            <w:r w:rsidRPr="001C5844">
              <w:rPr>
                <w:i/>
                <w:iCs/>
              </w:rPr>
              <w:t>For example, explained how the health of a waterway can be evaluated over time using databases, monitoring programs or oral history</w:t>
            </w:r>
            <w:r w:rsidR="00002719" w:rsidRPr="001C5844">
              <w:rPr>
                <w:i/>
                <w:iCs/>
              </w:rPr>
              <w:t>.</w:t>
            </w:r>
          </w:p>
          <w:p w14:paraId="7FB4F260" w14:textId="24ED3990" w:rsidR="008F503B" w:rsidRPr="001C5844" w:rsidRDefault="008F503B" w:rsidP="0DDD36BF">
            <w:pPr>
              <w:pStyle w:val="Bullet"/>
              <w:rPr>
                <w:i/>
                <w:iCs/>
              </w:rPr>
            </w:pPr>
            <w:r w:rsidRPr="001C5844">
              <w:t>explained how the other perspective contributes to knowledge or decisions about waterway use or management.</w:t>
            </w:r>
            <w:r w:rsidRPr="001C5844">
              <w:rPr>
                <w:i/>
                <w:iCs/>
              </w:rPr>
              <w:t xml:space="preserve"> For example, mātauranga Māori calls for tiakitanga approach in guardianship to oversee resource protection and that approach is explained in context</w:t>
            </w:r>
            <w:r w:rsidR="00002719" w:rsidRPr="001C5844">
              <w:rPr>
                <w:i/>
                <w:iCs/>
              </w:rPr>
              <w:t>.</w:t>
            </w:r>
          </w:p>
          <w:p w14:paraId="0D718152" w14:textId="3BC6221A" w:rsidR="009262DA" w:rsidRPr="001C5844" w:rsidRDefault="008F503B" w:rsidP="3520920C">
            <w:pPr>
              <w:pStyle w:val="Bullet"/>
              <w:rPr>
                <w:i/>
                <w:iCs/>
                <w:lang w:eastAsia="en-NZ"/>
              </w:rPr>
            </w:pPr>
            <w:r w:rsidRPr="001C5844">
              <w:rPr>
                <w:lang w:eastAsia="en-NZ"/>
              </w:rPr>
              <w:t xml:space="preserve">explained a science-informed response to the issue. </w:t>
            </w:r>
            <w:r w:rsidRPr="001C5844">
              <w:rPr>
                <w:i/>
                <w:iCs/>
                <w:lang w:eastAsia="en-NZ"/>
              </w:rPr>
              <w:t>For example, explained how changes in indicator species informed decision makers to respond to a water quality issue in a waterway management context with specific examples of actions</w:t>
            </w:r>
            <w:r w:rsidR="00002719" w:rsidRPr="001C5844">
              <w:rPr>
                <w:i/>
                <w:iCs/>
                <w:lang w:eastAsia="en-NZ"/>
              </w:rPr>
              <w:t>.</w:t>
            </w:r>
          </w:p>
          <w:p w14:paraId="3F8DE8F1" w14:textId="1D4B3B43" w:rsidR="009262DA" w:rsidRPr="001C5844" w:rsidRDefault="725130F1" w:rsidP="004D5131">
            <w:pPr>
              <w:pStyle w:val="Bullet"/>
              <w:rPr>
                <w:i/>
                <w:iCs/>
              </w:rPr>
            </w:pPr>
            <w:r w:rsidRPr="001C5844">
              <w:t>shown</w:t>
            </w:r>
            <w:r w:rsidR="685166BB" w:rsidRPr="001C5844">
              <w:t xml:space="preserve"> understanding of tiakitanga to recognise responsible science practice for maintaining the heath of </w:t>
            </w:r>
            <w:r w:rsidR="007A1AAD" w:rsidRPr="001C5844">
              <w:t xml:space="preserve">a </w:t>
            </w:r>
            <w:r w:rsidR="685166BB" w:rsidRPr="001C5844">
              <w:t>local waterway.</w:t>
            </w:r>
            <w:r w:rsidR="685166BB" w:rsidRPr="001C5844">
              <w:rPr>
                <w:i/>
                <w:iCs/>
              </w:rPr>
              <w:t xml:space="preserve"> For example, described taking care or guardianship of a waterway by using examples of ways science practices may monitor the waterway for ecosystem health, water quality, insights into a holistic view of the entire waterway system and broader environment or take corrective actions when necessary. Linking science </w:t>
            </w:r>
            <w:r w:rsidR="685166BB" w:rsidRPr="001C5844">
              <w:rPr>
                <w:i/>
                <w:iCs/>
              </w:rPr>
              <w:lastRenderedPageBreak/>
              <w:t>practice to taking care of or guardianship of the waterway.</w:t>
            </w:r>
          </w:p>
        </w:tc>
        <w:tc>
          <w:tcPr>
            <w:tcW w:w="3402" w:type="dxa"/>
            <w:tcBorders>
              <w:top w:val="single" w:sz="4" w:space="0" w:color="2C5F2D" w:themeColor="accent6"/>
              <w:left w:val="single" w:sz="4" w:space="0" w:color="2C5F2D" w:themeColor="accent6"/>
              <w:bottom w:val="single" w:sz="4" w:space="0" w:color="2C5F2D" w:themeColor="accent6"/>
            </w:tcBorders>
          </w:tcPr>
          <w:p w14:paraId="3CB0E9A2" w14:textId="3CA1AF78" w:rsidR="00914728" w:rsidRPr="001C5844" w:rsidRDefault="00566ADE" w:rsidP="00C56AA7">
            <w:pPr>
              <w:pStyle w:val="TableParagraph"/>
              <w:ind w:right="135"/>
            </w:pPr>
            <w:r w:rsidRPr="001C5844">
              <w:lastRenderedPageBreak/>
              <w:t>At the Excellence level, the</w:t>
            </w:r>
            <w:r w:rsidR="00914728" w:rsidRPr="001C5844">
              <w:t xml:space="preserve"> student has:</w:t>
            </w:r>
          </w:p>
          <w:p w14:paraId="545B50DD" w14:textId="3B1722A7" w:rsidR="009262DA" w:rsidRPr="001C5844" w:rsidRDefault="008F503B" w:rsidP="3520920C">
            <w:pPr>
              <w:pStyle w:val="Bullet"/>
              <w:rPr>
                <w:i/>
                <w:iCs/>
              </w:rPr>
            </w:pPr>
            <w:r w:rsidRPr="001C5844">
              <w:t xml:space="preserve">discussed the importance of monitoring waterway use next to long-term water quality issues and </w:t>
            </w:r>
            <w:proofErr w:type="spellStart"/>
            <w:r w:rsidRPr="001C5844">
              <w:t>analysed</w:t>
            </w:r>
            <w:proofErr w:type="spellEnd"/>
            <w:r w:rsidRPr="001C5844">
              <w:t xml:space="preserve"> how the other perspective has, or can, inform decisions for waterway use in a sustainable manner. </w:t>
            </w:r>
            <w:r w:rsidRPr="001C5844">
              <w:rPr>
                <w:i/>
                <w:iCs/>
              </w:rPr>
              <w:t xml:space="preserve">For example, explained the effects of recreation, urban or agricultural runoff, and explained how a local council and iwi body could </w:t>
            </w:r>
            <w:proofErr w:type="spellStart"/>
            <w:r w:rsidRPr="001C5844">
              <w:rPr>
                <w:i/>
                <w:iCs/>
              </w:rPr>
              <w:t>utilise</w:t>
            </w:r>
            <w:proofErr w:type="spellEnd"/>
            <w:r w:rsidRPr="001C5844">
              <w:rPr>
                <w:i/>
                <w:iCs/>
              </w:rPr>
              <w:t xml:space="preserve"> rāhui at pivotal times or manage the demand, use, and protection, of the resource</w:t>
            </w:r>
            <w:r w:rsidR="00002719" w:rsidRPr="001C5844">
              <w:rPr>
                <w:i/>
                <w:iCs/>
              </w:rPr>
              <w:t>.</w:t>
            </w:r>
          </w:p>
          <w:p w14:paraId="422E4B9A" w14:textId="12DD8756" w:rsidR="009262DA" w:rsidRPr="001C5844" w:rsidRDefault="0F107E7F" w:rsidP="004D5131">
            <w:pPr>
              <w:pStyle w:val="Bullet"/>
              <w:rPr>
                <w:i/>
                <w:iCs/>
              </w:rPr>
            </w:pPr>
            <w:r w:rsidRPr="001C5844">
              <w:t>shown</w:t>
            </w:r>
            <w:r w:rsidR="0011288B" w:rsidRPr="001C5844">
              <w:t xml:space="preserve"> </w:t>
            </w:r>
            <w:r w:rsidR="4E7A67D4" w:rsidRPr="001C5844">
              <w:t xml:space="preserve">understanding of tiakitanga to recognise responsible science practice for maintaining the heath of </w:t>
            </w:r>
            <w:r w:rsidR="007A1AAD" w:rsidRPr="001C5844">
              <w:t xml:space="preserve">a </w:t>
            </w:r>
            <w:r w:rsidR="4E7A67D4" w:rsidRPr="001C5844">
              <w:t xml:space="preserve">local waterway. </w:t>
            </w:r>
            <w:r w:rsidR="4E7A67D4" w:rsidRPr="001C5844">
              <w:rPr>
                <w:i/>
                <w:iCs/>
              </w:rPr>
              <w:t>For example, described taking care or guardianship of a waterway by using examples of ways science practices may monitor the waterway for ecosystem health, water quality, insights into a holistic view of the entire waterway system and broader environment or take corrective actions when necessary. Linking science practice to taking care of or guardianship of the waterway.</w:t>
            </w:r>
          </w:p>
        </w:tc>
      </w:tr>
    </w:tbl>
    <w:p w14:paraId="28DD755D" w14:textId="1692FFBC" w:rsidR="00B04726" w:rsidRPr="001C5844" w:rsidRDefault="005547CB" w:rsidP="005547CB">
      <w:pPr>
        <w:spacing w:before="360"/>
        <w:rPr>
          <w:sz w:val="20"/>
          <w:szCs w:val="20"/>
        </w:rPr>
      </w:pPr>
      <w:r w:rsidRPr="001C5844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1C5844" w:rsidSect="00143AD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3471" w14:textId="77777777" w:rsidR="00B024B6" w:rsidRDefault="00B024B6">
      <w:r>
        <w:separator/>
      </w:r>
    </w:p>
  </w:endnote>
  <w:endnote w:type="continuationSeparator" w:id="0">
    <w:p w14:paraId="0AEDFC11" w14:textId="77777777" w:rsidR="00B024B6" w:rsidRDefault="00B024B6">
      <w:r>
        <w:continuationSeparator/>
      </w:r>
    </w:p>
  </w:endnote>
  <w:endnote w:type="continuationNotice" w:id="1">
    <w:p w14:paraId="01FB944C" w14:textId="77777777" w:rsidR="00B024B6" w:rsidRDefault="00B024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5C2A" w14:textId="77777777" w:rsidR="00B024B6" w:rsidRDefault="00B024B6">
      <w:r>
        <w:separator/>
      </w:r>
    </w:p>
  </w:footnote>
  <w:footnote w:type="continuationSeparator" w:id="0">
    <w:p w14:paraId="3B838218" w14:textId="77777777" w:rsidR="00B024B6" w:rsidRDefault="00B024B6">
      <w:r>
        <w:continuationSeparator/>
      </w:r>
    </w:p>
  </w:footnote>
  <w:footnote w:type="continuationNotice" w:id="1">
    <w:p w14:paraId="3142901D" w14:textId="77777777" w:rsidR="00B024B6" w:rsidRDefault="00B024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596B5C89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</w:rPr>
    </w:pPr>
    <w:r>
      <w:rPr>
        <w:rFonts w:ascii="Verdana"/>
        <w:color w:val="231F20"/>
        <w:sz w:val="18"/>
      </w:rPr>
      <w:tab/>
    </w:r>
  </w:p>
  <w:p w14:paraId="00E5D2D0" w14:textId="292DD823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>NCEA Level 1</w:t>
    </w:r>
    <w:r>
      <w:rPr>
        <w:rFonts w:ascii="Verdana"/>
        <w:color w:val="231F20"/>
        <w:spacing w:val="-2"/>
        <w:sz w:val="18"/>
      </w:rPr>
      <w:tab/>
    </w:r>
    <w:r w:rsidR="005E2C7E">
      <w:rPr>
        <w:rFonts w:ascii="Verdana"/>
        <w:color w:val="231F20"/>
        <w:spacing w:val="-2"/>
        <w:sz w:val="18"/>
      </w:rPr>
      <w:t xml:space="preserve">Assessment Activity </w:t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1872EE">
      <w:rPr>
        <w:rFonts w:ascii="Verdana"/>
        <w:color w:val="231F20"/>
        <w:spacing w:val="-2"/>
        <w:sz w:val="18"/>
      </w:rPr>
      <w:t>4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2B42"/>
    <w:multiLevelType w:val="hybridMultilevel"/>
    <w:tmpl w:val="7A22E71A"/>
    <w:lvl w:ilvl="0" w:tplc="6DF84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C0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8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7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1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86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4F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5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A4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02DC"/>
    <w:multiLevelType w:val="hybridMultilevel"/>
    <w:tmpl w:val="6C6608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AA72"/>
    <w:multiLevelType w:val="hybridMultilevel"/>
    <w:tmpl w:val="16400A7E"/>
    <w:lvl w:ilvl="0" w:tplc="DE6A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A2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2B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8A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6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C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EA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26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E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1C3C34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7137"/>
    <w:multiLevelType w:val="hybridMultilevel"/>
    <w:tmpl w:val="2B3C2AAA"/>
    <w:lvl w:ilvl="0" w:tplc="92C64BCC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1C3C34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65026D8"/>
    <w:multiLevelType w:val="hybridMultilevel"/>
    <w:tmpl w:val="7B18CF00"/>
    <w:lvl w:ilvl="0" w:tplc="F33CDFA0">
      <w:start w:val="1"/>
      <w:numFmt w:val="bullet"/>
      <w:pStyle w:val="BulletLevel2"/>
      <w:lvlText w:val="○"/>
      <w:lvlJc w:val="left"/>
      <w:pPr>
        <w:ind w:left="1457" w:hanging="360"/>
      </w:pPr>
      <w:rPr>
        <w:rFonts w:ascii="Arial" w:hAnsi="Arial" w:hint="default"/>
        <w:color w:val="2C5F2D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1C3C34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1C3C34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3"/>
  </w:num>
  <w:num w:numId="2" w16cid:durableId="1357467588">
    <w:abstractNumId w:val="7"/>
  </w:num>
  <w:num w:numId="3" w16cid:durableId="1994917415">
    <w:abstractNumId w:val="6"/>
  </w:num>
  <w:num w:numId="4" w16cid:durableId="1679311741">
    <w:abstractNumId w:val="5"/>
  </w:num>
  <w:num w:numId="5" w16cid:durableId="452403526">
    <w:abstractNumId w:val="0"/>
  </w:num>
  <w:num w:numId="6" w16cid:durableId="549655463">
    <w:abstractNumId w:val="1"/>
  </w:num>
  <w:num w:numId="7" w16cid:durableId="1508985726">
    <w:abstractNumId w:val="2"/>
  </w:num>
  <w:num w:numId="8" w16cid:durableId="76565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1581"/>
    <w:rsid w:val="00002719"/>
    <w:rsid w:val="00013908"/>
    <w:rsid w:val="000168C8"/>
    <w:rsid w:val="00016B5F"/>
    <w:rsid w:val="0002125F"/>
    <w:rsid w:val="00022D29"/>
    <w:rsid w:val="00033B5A"/>
    <w:rsid w:val="00050834"/>
    <w:rsid w:val="000535D2"/>
    <w:rsid w:val="00065F88"/>
    <w:rsid w:val="00073831"/>
    <w:rsid w:val="00075DCA"/>
    <w:rsid w:val="00076238"/>
    <w:rsid w:val="000803D9"/>
    <w:rsid w:val="00080D31"/>
    <w:rsid w:val="00085865"/>
    <w:rsid w:val="00086F0B"/>
    <w:rsid w:val="00087E31"/>
    <w:rsid w:val="00090CEB"/>
    <w:rsid w:val="00091C24"/>
    <w:rsid w:val="000A03D1"/>
    <w:rsid w:val="000A14D0"/>
    <w:rsid w:val="000B6FA6"/>
    <w:rsid w:val="000C1544"/>
    <w:rsid w:val="000C2B61"/>
    <w:rsid w:val="000C3616"/>
    <w:rsid w:val="000C415D"/>
    <w:rsid w:val="000D3DD2"/>
    <w:rsid w:val="000E10AC"/>
    <w:rsid w:val="000E3D7A"/>
    <w:rsid w:val="000E73ED"/>
    <w:rsid w:val="000F583C"/>
    <w:rsid w:val="0010747D"/>
    <w:rsid w:val="00111666"/>
    <w:rsid w:val="0011288B"/>
    <w:rsid w:val="00122E87"/>
    <w:rsid w:val="001347EB"/>
    <w:rsid w:val="00140144"/>
    <w:rsid w:val="00143AD5"/>
    <w:rsid w:val="00162CDC"/>
    <w:rsid w:val="001679B8"/>
    <w:rsid w:val="001711BE"/>
    <w:rsid w:val="001715D7"/>
    <w:rsid w:val="00173A88"/>
    <w:rsid w:val="001872EE"/>
    <w:rsid w:val="00187BB3"/>
    <w:rsid w:val="001A3946"/>
    <w:rsid w:val="001B086E"/>
    <w:rsid w:val="001B22C6"/>
    <w:rsid w:val="001B249A"/>
    <w:rsid w:val="001B60BC"/>
    <w:rsid w:val="001C271B"/>
    <w:rsid w:val="001C4828"/>
    <w:rsid w:val="001C5844"/>
    <w:rsid w:val="001F354B"/>
    <w:rsid w:val="00205B21"/>
    <w:rsid w:val="00210C0B"/>
    <w:rsid w:val="002120CF"/>
    <w:rsid w:val="002707A3"/>
    <w:rsid w:val="00273B22"/>
    <w:rsid w:val="00281228"/>
    <w:rsid w:val="00292F25"/>
    <w:rsid w:val="002B4160"/>
    <w:rsid w:val="002C3418"/>
    <w:rsid w:val="002D308A"/>
    <w:rsid w:val="002E3910"/>
    <w:rsid w:val="002E6019"/>
    <w:rsid w:val="003052A3"/>
    <w:rsid w:val="00307536"/>
    <w:rsid w:val="00317062"/>
    <w:rsid w:val="003362A3"/>
    <w:rsid w:val="00342B25"/>
    <w:rsid w:val="0034308E"/>
    <w:rsid w:val="003450E3"/>
    <w:rsid w:val="00346972"/>
    <w:rsid w:val="0034712F"/>
    <w:rsid w:val="00352D6E"/>
    <w:rsid w:val="00355C8C"/>
    <w:rsid w:val="00374FA1"/>
    <w:rsid w:val="00377CD3"/>
    <w:rsid w:val="00387653"/>
    <w:rsid w:val="00390110"/>
    <w:rsid w:val="003B234D"/>
    <w:rsid w:val="003B5C73"/>
    <w:rsid w:val="003C02E1"/>
    <w:rsid w:val="003C48F6"/>
    <w:rsid w:val="003E3A53"/>
    <w:rsid w:val="003E7909"/>
    <w:rsid w:val="003F2350"/>
    <w:rsid w:val="00422640"/>
    <w:rsid w:val="00427EE4"/>
    <w:rsid w:val="004313FC"/>
    <w:rsid w:val="00431EDC"/>
    <w:rsid w:val="00435CD0"/>
    <w:rsid w:val="00453D31"/>
    <w:rsid w:val="00471A4A"/>
    <w:rsid w:val="00473E9E"/>
    <w:rsid w:val="004744C1"/>
    <w:rsid w:val="0047510A"/>
    <w:rsid w:val="00484B95"/>
    <w:rsid w:val="004933B8"/>
    <w:rsid w:val="004A28D5"/>
    <w:rsid w:val="004A6697"/>
    <w:rsid w:val="004A6CAA"/>
    <w:rsid w:val="004C1A0B"/>
    <w:rsid w:val="004D16D7"/>
    <w:rsid w:val="004D1C52"/>
    <w:rsid w:val="004D5131"/>
    <w:rsid w:val="004E7069"/>
    <w:rsid w:val="004F1754"/>
    <w:rsid w:val="004F427A"/>
    <w:rsid w:val="005000F9"/>
    <w:rsid w:val="00505BA1"/>
    <w:rsid w:val="00507F1C"/>
    <w:rsid w:val="00522C2B"/>
    <w:rsid w:val="005547CB"/>
    <w:rsid w:val="00554DA2"/>
    <w:rsid w:val="00555687"/>
    <w:rsid w:val="00557127"/>
    <w:rsid w:val="00566ADE"/>
    <w:rsid w:val="00566E53"/>
    <w:rsid w:val="0057097E"/>
    <w:rsid w:val="005736AF"/>
    <w:rsid w:val="00580413"/>
    <w:rsid w:val="005815FA"/>
    <w:rsid w:val="005A07CE"/>
    <w:rsid w:val="005A56E3"/>
    <w:rsid w:val="005B173E"/>
    <w:rsid w:val="005C11D4"/>
    <w:rsid w:val="005C5E76"/>
    <w:rsid w:val="005C78E1"/>
    <w:rsid w:val="005D6272"/>
    <w:rsid w:val="005E2C7E"/>
    <w:rsid w:val="005F3F24"/>
    <w:rsid w:val="00607452"/>
    <w:rsid w:val="00612431"/>
    <w:rsid w:val="00614E93"/>
    <w:rsid w:val="00616C81"/>
    <w:rsid w:val="0062138B"/>
    <w:rsid w:val="00625F60"/>
    <w:rsid w:val="0063328B"/>
    <w:rsid w:val="006347CC"/>
    <w:rsid w:val="00636591"/>
    <w:rsid w:val="00637AA9"/>
    <w:rsid w:val="006606B4"/>
    <w:rsid w:val="00671ADE"/>
    <w:rsid w:val="0069129D"/>
    <w:rsid w:val="006A7606"/>
    <w:rsid w:val="006D46A1"/>
    <w:rsid w:val="006D6DA2"/>
    <w:rsid w:val="006F1AAA"/>
    <w:rsid w:val="006F3FD4"/>
    <w:rsid w:val="00702D0E"/>
    <w:rsid w:val="007119C3"/>
    <w:rsid w:val="00720638"/>
    <w:rsid w:val="00722C96"/>
    <w:rsid w:val="00745194"/>
    <w:rsid w:val="00746E73"/>
    <w:rsid w:val="007579F7"/>
    <w:rsid w:val="00772D88"/>
    <w:rsid w:val="007A1AAD"/>
    <w:rsid w:val="007A5A34"/>
    <w:rsid w:val="007B3B4F"/>
    <w:rsid w:val="007B4CF8"/>
    <w:rsid w:val="007B6BC8"/>
    <w:rsid w:val="007C6B86"/>
    <w:rsid w:val="007F7FE3"/>
    <w:rsid w:val="00807F25"/>
    <w:rsid w:val="0081712C"/>
    <w:rsid w:val="00821253"/>
    <w:rsid w:val="008228C7"/>
    <w:rsid w:val="0082466C"/>
    <w:rsid w:val="00837047"/>
    <w:rsid w:val="00840EC2"/>
    <w:rsid w:val="00845665"/>
    <w:rsid w:val="008467C2"/>
    <w:rsid w:val="00856D51"/>
    <w:rsid w:val="00860DDA"/>
    <w:rsid w:val="00865FA5"/>
    <w:rsid w:val="008676E4"/>
    <w:rsid w:val="00872950"/>
    <w:rsid w:val="00873C0D"/>
    <w:rsid w:val="00875E2F"/>
    <w:rsid w:val="00876B34"/>
    <w:rsid w:val="00883354"/>
    <w:rsid w:val="00886228"/>
    <w:rsid w:val="008908B7"/>
    <w:rsid w:val="00897123"/>
    <w:rsid w:val="008A075E"/>
    <w:rsid w:val="008A4907"/>
    <w:rsid w:val="008E00E7"/>
    <w:rsid w:val="008E1D41"/>
    <w:rsid w:val="008F3376"/>
    <w:rsid w:val="008F503B"/>
    <w:rsid w:val="0091379C"/>
    <w:rsid w:val="00914728"/>
    <w:rsid w:val="009156CD"/>
    <w:rsid w:val="00917BC8"/>
    <w:rsid w:val="009203EB"/>
    <w:rsid w:val="009262DA"/>
    <w:rsid w:val="00931078"/>
    <w:rsid w:val="00942010"/>
    <w:rsid w:val="00947E05"/>
    <w:rsid w:val="009579C0"/>
    <w:rsid w:val="00961BC1"/>
    <w:rsid w:val="0096356A"/>
    <w:rsid w:val="009647E0"/>
    <w:rsid w:val="00971F5C"/>
    <w:rsid w:val="00973AA2"/>
    <w:rsid w:val="00976CFB"/>
    <w:rsid w:val="009863FC"/>
    <w:rsid w:val="009919E7"/>
    <w:rsid w:val="009A2225"/>
    <w:rsid w:val="009A7326"/>
    <w:rsid w:val="009B5663"/>
    <w:rsid w:val="009B5D03"/>
    <w:rsid w:val="009B675E"/>
    <w:rsid w:val="009C474B"/>
    <w:rsid w:val="009C7824"/>
    <w:rsid w:val="009E181B"/>
    <w:rsid w:val="009E60DA"/>
    <w:rsid w:val="009E60E9"/>
    <w:rsid w:val="009E7E12"/>
    <w:rsid w:val="009F1749"/>
    <w:rsid w:val="009F2A2C"/>
    <w:rsid w:val="00A20C7B"/>
    <w:rsid w:val="00A52392"/>
    <w:rsid w:val="00A55917"/>
    <w:rsid w:val="00A64869"/>
    <w:rsid w:val="00A92F06"/>
    <w:rsid w:val="00AB3DCB"/>
    <w:rsid w:val="00AB3F2F"/>
    <w:rsid w:val="00AD1A43"/>
    <w:rsid w:val="00AD47D4"/>
    <w:rsid w:val="00AE07F9"/>
    <w:rsid w:val="00AE1567"/>
    <w:rsid w:val="00AE7850"/>
    <w:rsid w:val="00AE7D40"/>
    <w:rsid w:val="00AF13AD"/>
    <w:rsid w:val="00AF3246"/>
    <w:rsid w:val="00B015BE"/>
    <w:rsid w:val="00B02361"/>
    <w:rsid w:val="00B024B6"/>
    <w:rsid w:val="00B04726"/>
    <w:rsid w:val="00B10004"/>
    <w:rsid w:val="00B126C9"/>
    <w:rsid w:val="00B75398"/>
    <w:rsid w:val="00B81677"/>
    <w:rsid w:val="00B93271"/>
    <w:rsid w:val="00BA0FBA"/>
    <w:rsid w:val="00BA4F9F"/>
    <w:rsid w:val="00BD100A"/>
    <w:rsid w:val="00BE5E51"/>
    <w:rsid w:val="00BF628B"/>
    <w:rsid w:val="00C04CF8"/>
    <w:rsid w:val="00C17037"/>
    <w:rsid w:val="00C26B15"/>
    <w:rsid w:val="00C411E8"/>
    <w:rsid w:val="00C56AA7"/>
    <w:rsid w:val="00C63D24"/>
    <w:rsid w:val="00C67856"/>
    <w:rsid w:val="00C7500A"/>
    <w:rsid w:val="00C76464"/>
    <w:rsid w:val="00C80B1C"/>
    <w:rsid w:val="00C8163B"/>
    <w:rsid w:val="00C8178E"/>
    <w:rsid w:val="00C82E40"/>
    <w:rsid w:val="00C91E0C"/>
    <w:rsid w:val="00C96631"/>
    <w:rsid w:val="00C979E8"/>
    <w:rsid w:val="00CA64C2"/>
    <w:rsid w:val="00CB0FAE"/>
    <w:rsid w:val="00CB7436"/>
    <w:rsid w:val="00CD2314"/>
    <w:rsid w:val="00CE0E9E"/>
    <w:rsid w:val="00CE25FD"/>
    <w:rsid w:val="00CE3C25"/>
    <w:rsid w:val="00CE3F68"/>
    <w:rsid w:val="00CE7B4A"/>
    <w:rsid w:val="00CF7342"/>
    <w:rsid w:val="00D12817"/>
    <w:rsid w:val="00D16ABE"/>
    <w:rsid w:val="00D17859"/>
    <w:rsid w:val="00D31B9C"/>
    <w:rsid w:val="00D478E9"/>
    <w:rsid w:val="00D754F3"/>
    <w:rsid w:val="00D80D1D"/>
    <w:rsid w:val="00D9526C"/>
    <w:rsid w:val="00D97109"/>
    <w:rsid w:val="00DA6371"/>
    <w:rsid w:val="00DC1550"/>
    <w:rsid w:val="00DC18BC"/>
    <w:rsid w:val="00DD76C2"/>
    <w:rsid w:val="00DF25AD"/>
    <w:rsid w:val="00DF57D3"/>
    <w:rsid w:val="00E23752"/>
    <w:rsid w:val="00E26509"/>
    <w:rsid w:val="00E300B1"/>
    <w:rsid w:val="00E37B78"/>
    <w:rsid w:val="00E437E0"/>
    <w:rsid w:val="00E5609D"/>
    <w:rsid w:val="00E564AC"/>
    <w:rsid w:val="00E73BDC"/>
    <w:rsid w:val="00E7780A"/>
    <w:rsid w:val="00E77EE5"/>
    <w:rsid w:val="00E8677B"/>
    <w:rsid w:val="00E87447"/>
    <w:rsid w:val="00EA286A"/>
    <w:rsid w:val="00EB5122"/>
    <w:rsid w:val="00EB5D34"/>
    <w:rsid w:val="00EB7579"/>
    <w:rsid w:val="00ED12BC"/>
    <w:rsid w:val="00ED12D2"/>
    <w:rsid w:val="00EE515D"/>
    <w:rsid w:val="00EF75E3"/>
    <w:rsid w:val="00EF7FF9"/>
    <w:rsid w:val="00F03531"/>
    <w:rsid w:val="00F04990"/>
    <w:rsid w:val="00F101AD"/>
    <w:rsid w:val="00F13C99"/>
    <w:rsid w:val="00F4030D"/>
    <w:rsid w:val="00F463FA"/>
    <w:rsid w:val="00F47894"/>
    <w:rsid w:val="00F5153E"/>
    <w:rsid w:val="00F525E1"/>
    <w:rsid w:val="00F552BE"/>
    <w:rsid w:val="00F6485A"/>
    <w:rsid w:val="00F67783"/>
    <w:rsid w:val="00F74591"/>
    <w:rsid w:val="00F77217"/>
    <w:rsid w:val="00F83D94"/>
    <w:rsid w:val="00F913D6"/>
    <w:rsid w:val="00F94DA5"/>
    <w:rsid w:val="00FA6B57"/>
    <w:rsid w:val="00FA7495"/>
    <w:rsid w:val="00FB7D5E"/>
    <w:rsid w:val="00FC48CD"/>
    <w:rsid w:val="00FF6C65"/>
    <w:rsid w:val="05D9CE3A"/>
    <w:rsid w:val="064FC742"/>
    <w:rsid w:val="080DD9EA"/>
    <w:rsid w:val="09A9AA4B"/>
    <w:rsid w:val="0CE14B0D"/>
    <w:rsid w:val="0DDD36BF"/>
    <w:rsid w:val="0F107E7F"/>
    <w:rsid w:val="144DC39F"/>
    <w:rsid w:val="14EC5CF2"/>
    <w:rsid w:val="166B0E5B"/>
    <w:rsid w:val="1823FDB4"/>
    <w:rsid w:val="1B5B9E76"/>
    <w:rsid w:val="1B638BFC"/>
    <w:rsid w:val="1E933F38"/>
    <w:rsid w:val="20AB63F0"/>
    <w:rsid w:val="236E9DE1"/>
    <w:rsid w:val="23D12604"/>
    <w:rsid w:val="29AC818A"/>
    <w:rsid w:val="2B79AFC6"/>
    <w:rsid w:val="2C62B727"/>
    <w:rsid w:val="2EB15088"/>
    <w:rsid w:val="31E8F14A"/>
    <w:rsid w:val="3520920C"/>
    <w:rsid w:val="3C5C1294"/>
    <w:rsid w:val="3F124831"/>
    <w:rsid w:val="3F692207"/>
    <w:rsid w:val="46D0083B"/>
    <w:rsid w:val="4974A5E5"/>
    <w:rsid w:val="4E7A67D4"/>
    <w:rsid w:val="5A39AF8E"/>
    <w:rsid w:val="5E0822E7"/>
    <w:rsid w:val="64FD1AD2"/>
    <w:rsid w:val="652C40D2"/>
    <w:rsid w:val="658E8F85"/>
    <w:rsid w:val="685166BB"/>
    <w:rsid w:val="6B079C58"/>
    <w:rsid w:val="6BF3913F"/>
    <w:rsid w:val="6D8F61A0"/>
    <w:rsid w:val="708240AC"/>
    <w:rsid w:val="7249AA66"/>
    <w:rsid w:val="725130F1"/>
    <w:rsid w:val="73A03637"/>
    <w:rsid w:val="7DB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877796D3-D848-427A-B364-78B3FDA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1C3C34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1C3C34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1C3C34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1C3C34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1C3C34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1C3C34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1C3C34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1C3C34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387653"/>
    <w:pPr>
      <w:spacing w:after="120"/>
      <w:ind w:left="170"/>
    </w:pPr>
    <w:rPr>
      <w:b/>
      <w:color w:val="1C3C34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387653"/>
    <w:rPr>
      <w:rFonts w:ascii="Arial" w:eastAsia="Arial" w:hAnsi="Arial" w:cs="Arial"/>
      <w:b/>
      <w:color w:val="1C3C34" w:themeColor="accent5"/>
    </w:rPr>
  </w:style>
  <w:style w:type="paragraph" w:customStyle="1" w:styleId="Bullet">
    <w:name w:val="Bullet"/>
    <w:basedOn w:val="TableParagraph"/>
    <w:link w:val="BulletChar"/>
    <w:qFormat/>
    <w:rsid w:val="001C5844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1C5844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1C3C34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1C3C34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1C3C34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1C3C34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1C3C34" w:themeColor="accent5"/>
    </w:rPr>
  </w:style>
  <w:style w:type="paragraph" w:customStyle="1" w:styleId="BulletLevel2">
    <w:name w:val="Bullet Level 2"/>
    <w:basedOn w:val="Bullet"/>
    <w:link w:val="BulletLevel2Char"/>
    <w:qFormat/>
    <w:rsid w:val="00292F25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292F25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00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004"/>
    <w:rPr>
      <w:rFonts w:ascii="Arial" w:eastAsia="Arial" w:hAnsi="Arial" w:cs="Arial"/>
      <w:b/>
      <w:bCs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1C5844"/>
    <w:pPr>
      <w:numPr>
        <w:numId w:val="8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1C5844"/>
    <w:rPr>
      <w:rFonts w:ascii="Arial" w:eastAsia="Arial" w:hAnsi="Arial" w:cs="Arial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ūtaiao Science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1C3C34"/>
      </a:accent5>
      <a:accent6>
        <a:srgbClr val="2C5F2D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MoEd-1009529366-21350</_dlc_DocId>
    <_dlc_DocIdUrl xmlns="53ece4ca-2547-4740-831a-d48c281b7a6a">
      <Url>https://educationgovtnz.sharepoint.com/sites/GRPMoEELSASecondaryTertiary-NCEAReviewandMaintenance/_layouts/15/DocIdRedir.aspx?ID=MoEd-1009529366-21350</Url>
      <Description>MoEd-1009529366-21350</Description>
    </_dlc_DocIdUrl>
    <_dlc_DocIdPersistId xmlns="53ece4ca-2547-4740-831a-d48c281b7a6a">false</_dlc_DocIdPersistId>
    <lcf76f155ced4ddcb4097134ff3c332f xmlns="256c2040-7c59-40d7-8063-8e42ad73f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40751-0589-46AB-B4C2-65C7409F3740}"/>
</file>

<file path=customXml/itemProps4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8FCAE4-4F15-4F84-9CF0-DD3194DE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  <ds:schemaRef ds:uri="53ece4ca-2547-4740-831a-d48c281b7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Ahmed Hemady</cp:lastModifiedBy>
  <cp:revision>2</cp:revision>
  <dcterms:created xsi:type="dcterms:W3CDTF">2024-06-24T23:23:00Z</dcterms:created>
  <dcterms:modified xsi:type="dcterms:W3CDTF">2024-12-16T13:35:00Z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6adb52d3-3128-49cd-a0cc-3e177e66ccd0</vt:lpwstr>
  </property>
  <property fmtid="{D5CDD505-2E9C-101B-9397-08002B2CF9AE}" pid="9" name="Order">
    <vt:r8>36900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j560beb70aea488fb091e84adbb32566">
    <vt:lpwstr/>
  </property>
  <property fmtid="{D5CDD505-2E9C-101B-9397-08002B2CF9AE}" pid="17" name="Ministerial_x0020_Type">
    <vt:lpwstr/>
  </property>
  <property fmtid="{D5CDD505-2E9C-101B-9397-08002B2CF9AE}" pid="18" name="Property_x0020_Management_x0020_Activity">
    <vt:lpwstr/>
  </property>
  <property fmtid="{D5CDD505-2E9C-101B-9397-08002B2CF9AE}" pid="19" name="m06bc18559e9431bb4d590962e6b7f83">
    <vt:lpwstr/>
  </property>
  <property fmtid="{D5CDD505-2E9C-101B-9397-08002B2CF9AE}" pid="20" name="hf7c71fd10d346fe8adb3bb49d5c0fc0">
    <vt:lpwstr/>
  </property>
  <property fmtid="{D5CDD505-2E9C-101B-9397-08002B2CF9AE}" pid="21" name="ce139978aae645acb1db0a0e0d3df2f5">
    <vt:lpwstr/>
  </property>
  <property fmtid="{D5CDD505-2E9C-101B-9397-08002B2CF9AE}" pid="22" name="Record Activity">
    <vt:lpwstr/>
  </property>
  <property fmtid="{D5CDD505-2E9C-101B-9397-08002B2CF9AE}" pid="23" name="CalendarYear">
    <vt:lpwstr/>
  </property>
  <property fmtid="{D5CDD505-2E9C-101B-9397-08002B2CF9AE}" pid="24" name="FinancialYear">
    <vt:lpwstr/>
  </property>
  <property fmtid="{D5CDD505-2E9C-101B-9397-08002B2CF9AE}" pid="25" name="Property Management Activity">
    <vt:lpwstr/>
  </property>
  <property fmtid="{D5CDD505-2E9C-101B-9397-08002B2CF9AE}" pid="26" name="Ministerial Type">
    <vt:lpwstr/>
  </property>
  <property fmtid="{D5CDD505-2E9C-101B-9397-08002B2CF9AE}" pid="27" name="JIRALink">
    <vt:lpwstr>, </vt:lpwstr>
  </property>
  <property fmtid="{D5CDD505-2E9C-101B-9397-08002B2CF9AE}" pid="28" name="_SourceUrl">
    <vt:lpwstr/>
  </property>
  <property fmtid="{D5CDD505-2E9C-101B-9397-08002B2CF9AE}" pid="29" name="_SharedFileIndex">
    <vt:lpwstr/>
  </property>
</Properties>
</file>