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E0DD" w14:textId="15294FC5" w:rsidR="00AB3DCB" w:rsidRDefault="00DF63D6" w:rsidP="00D24F8E">
      <w:pPr>
        <w:pStyle w:val="Heading1"/>
        <w:ind w:left="0"/>
      </w:pPr>
      <w:r>
        <w:rPr>
          <w:spacing w:val="-6"/>
        </w:rPr>
        <w:t xml:space="preserve">Digital </w:t>
      </w:r>
      <w:r w:rsidR="00593CE2">
        <w:rPr>
          <w:spacing w:val="-6"/>
        </w:rPr>
        <w:t>Technolog</w:t>
      </w:r>
      <w:r>
        <w:rPr>
          <w:spacing w:val="-6"/>
        </w:rPr>
        <w:t>ies</w:t>
      </w:r>
      <w:r w:rsidR="00702D0E" w:rsidRPr="007B3B4F">
        <w:rPr>
          <w:spacing w:val="-16"/>
        </w:rPr>
        <w:t xml:space="preserve"> </w:t>
      </w:r>
      <w:r w:rsidR="00702D0E" w:rsidRPr="007B3B4F">
        <w:rPr>
          <w:spacing w:val="-6"/>
        </w:rPr>
        <w:t>NCEA</w:t>
      </w:r>
      <w:r w:rsidR="00702D0E" w:rsidRPr="007B3B4F">
        <w:rPr>
          <w:spacing w:val="-31"/>
        </w:rPr>
        <w:t xml:space="preserve"> </w:t>
      </w:r>
      <w:r w:rsidR="00702D0E" w:rsidRPr="007B3B4F">
        <w:rPr>
          <w:spacing w:val="-6"/>
        </w:rPr>
        <w:t>NZC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Level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1</w:t>
      </w:r>
      <w:r>
        <w:rPr>
          <w:spacing w:val="-6"/>
        </w:rPr>
        <w:t xml:space="preserve"> </w:t>
      </w:r>
      <w:r w:rsidR="00702D0E" w:rsidRPr="007B3B4F">
        <w:rPr>
          <w:spacing w:val="-6"/>
        </w:rPr>
        <w:t>Course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Outline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3</w:t>
      </w:r>
    </w:p>
    <w:p w14:paraId="435CF41C" w14:textId="5EEE751D" w:rsidR="00AB3DCB" w:rsidRDefault="00AB3DCB" w:rsidP="00596776">
      <w:pPr>
        <w:spacing w:before="0"/>
        <w:rPr>
          <w:sz w:val="29"/>
        </w:rPr>
      </w:pPr>
    </w:p>
    <w:p w14:paraId="4A154D3D" w14:textId="77777777" w:rsidR="00C91E0C" w:rsidRDefault="00C91E0C" w:rsidP="007930FE">
      <w:pPr>
        <w:pBdr>
          <w:top w:val="single" w:sz="24" w:space="1" w:color="A1561C" w:themeColor="accent6"/>
        </w:pBdr>
        <w:rPr>
          <w:sz w:val="29"/>
        </w:rPr>
      </w:pPr>
    </w:p>
    <w:p w14:paraId="065A4975" w14:textId="77777777" w:rsidR="00AB3DCB" w:rsidRPr="005B173E" w:rsidRDefault="00702D0E" w:rsidP="00D24F8E">
      <w:pPr>
        <w:pStyle w:val="BodyText"/>
        <w:spacing w:line="276" w:lineRule="auto"/>
        <w:ind w:right="1639"/>
        <w:rPr>
          <w:rStyle w:val="Heading4Char"/>
        </w:rPr>
      </w:pPr>
      <w:r w:rsidRPr="00F47894">
        <w:rPr>
          <w:rStyle w:val="Heading3Char"/>
        </w:rPr>
        <w:t>Purpose:</w:t>
      </w:r>
      <w:r>
        <w:rPr>
          <w:b/>
          <w:color w:val="004F74"/>
          <w:spacing w:val="-20"/>
          <w:sz w:val="28"/>
        </w:rPr>
        <w:t xml:space="preserve"> </w:t>
      </w:r>
      <w:r w:rsidRPr="005B173E">
        <w:rPr>
          <w:rStyle w:val="Heading4Char"/>
        </w:rPr>
        <w:t>This example Course Outline (CO) has been provided to support teachers to understand how the new subject Learning Matrix and NCEA Achievement Standards might be used to create a year-long programme of learning.</w:t>
      </w:r>
    </w:p>
    <w:p w14:paraId="7C6A4AC0" w14:textId="77777777" w:rsidR="00AB3DCB" w:rsidRDefault="00AB3DCB" w:rsidP="00AD0702">
      <w:pPr>
        <w:pStyle w:val="BodyText"/>
        <w:spacing w:after="120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340" w:type="dxa"/>
        </w:tblCellMar>
        <w:tblLook w:val="01E0" w:firstRow="1" w:lastRow="1" w:firstColumn="1" w:lastColumn="1" w:noHBand="0" w:noVBand="0"/>
      </w:tblPr>
      <w:tblGrid>
        <w:gridCol w:w="8931"/>
        <w:gridCol w:w="12947"/>
      </w:tblGrid>
      <w:tr w:rsidR="0063149B" w14:paraId="6A500449" w14:textId="77777777" w:rsidTr="748F52CB">
        <w:trPr>
          <w:trHeight w:val="490"/>
          <w:tblHeader/>
        </w:trPr>
        <w:tc>
          <w:tcPr>
            <w:tcW w:w="8931" w:type="dxa"/>
            <w:tcBorders>
              <w:top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07147709" w14:textId="77777777" w:rsidR="0063149B" w:rsidRDefault="0063149B" w:rsidP="00856D51">
            <w:pPr>
              <w:pStyle w:val="TableHeading"/>
              <w:spacing w:before="160" w:after="160"/>
              <w:ind w:left="179" w:right="372"/>
            </w:pPr>
            <w:r w:rsidRPr="00875E2F">
              <w:t xml:space="preserve">Significant </w:t>
            </w:r>
            <w:r w:rsidRPr="00875E2F">
              <w:rPr>
                <w:spacing w:val="-2"/>
              </w:rPr>
              <w:t>Learning</w:t>
            </w: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</w:tcBorders>
          </w:tcPr>
          <w:p w14:paraId="7796ABF6" w14:textId="7E7A53A3" w:rsidR="0063149B" w:rsidRDefault="0063149B" w:rsidP="00856D51">
            <w:pPr>
              <w:pStyle w:val="TableHeading"/>
              <w:spacing w:before="160" w:after="160"/>
            </w:pPr>
            <w:r>
              <w:t>Learning</w:t>
            </w:r>
            <w:r>
              <w:rPr>
                <w:spacing w:val="-14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Opportunities</w:t>
            </w:r>
          </w:p>
        </w:tc>
      </w:tr>
      <w:tr w:rsidR="0072141B" w14:paraId="631C42FB" w14:textId="77777777" w:rsidTr="748F52C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00D0D221" w14:textId="77777777" w:rsidR="0072141B" w:rsidRDefault="0072141B">
            <w:pPr>
              <w:pStyle w:val="Heading6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701BC47A" w14:textId="77777777" w:rsidR="004B1B3F" w:rsidRDefault="004B1B3F" w:rsidP="00B551C3">
            <w:pPr>
              <w:pStyle w:val="Heading5"/>
            </w:pPr>
            <w:r w:rsidRPr="004B1B3F">
              <w:t>Usability principles and mātāpono Māori</w:t>
            </w:r>
          </w:p>
          <w:p w14:paraId="114A1BE1" w14:textId="23D49DC0" w:rsidR="0072141B" w:rsidRDefault="0072141B">
            <w:pPr>
              <w:pStyle w:val="Heading6"/>
              <w:spacing w:after="120"/>
            </w:pPr>
            <w:r w:rsidRPr="000D5253">
              <w:rPr>
                <w:b w:val="0"/>
                <w:bCs/>
              </w:rPr>
              <w:t xml:space="preserve">Duration </w:t>
            </w:r>
            <w:r w:rsidR="00861455"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B551C3">
              <w:rPr>
                <w:b w:val="0"/>
                <w:bCs/>
              </w:rPr>
              <w:t>3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63149B" w14:paraId="72EEBA69" w14:textId="77777777" w:rsidTr="748F52C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6BB8EDBD" w14:textId="03B12BD5" w:rsidR="00A570EE" w:rsidRDefault="00A570EE" w:rsidP="00A570EE">
            <w:pPr>
              <w:pStyle w:val="Bullet"/>
            </w:pPr>
            <w:r>
              <w:t>Prioritise user experience in design — practise manaakitanga by applying relevant design principles, mātāpono Māori, and usability principles</w:t>
            </w:r>
          </w:p>
          <w:p w14:paraId="0914D435" w14:textId="0793E7D2" w:rsidR="00A570EE" w:rsidRDefault="00A570EE" w:rsidP="00A570EE">
            <w:pPr>
              <w:pStyle w:val="Bullet"/>
            </w:pPr>
            <w:r>
              <w:t>Understand that digital technologies and the concepts that underpin them are influenced by the people that create them and the contexts in which they are developed</w:t>
            </w:r>
          </w:p>
          <w:p w14:paraId="30D9283A" w14:textId="7F1DBAA2" w:rsidR="00A570EE" w:rsidRDefault="00A570EE" w:rsidP="00A570EE">
            <w:pPr>
              <w:pStyle w:val="Bullet"/>
            </w:pPr>
            <w:r>
              <w:t>Understand that digital technologies and the concepts that underpin them impact on people, societies, and cultures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36F82D99" w14:textId="5F72FC60" w:rsidR="00EE1857" w:rsidRPr="00EE1857" w:rsidRDefault="00EE1857" w:rsidP="00EE1857">
            <w:pPr>
              <w:pStyle w:val="TableParagraph"/>
              <w:rPr>
                <w:color w:val="231F20"/>
                <w:spacing w:val="-2"/>
              </w:rPr>
            </w:pPr>
            <w:r w:rsidRPr="00EE1857">
              <w:rPr>
                <w:color w:val="231F20"/>
                <w:spacing w:val="-2"/>
              </w:rPr>
              <w:t xml:space="preserve">Through a range of learning activities, </w:t>
            </w:r>
            <w:r w:rsidR="0049633F">
              <w:rPr>
                <w:color w:val="231F20"/>
                <w:spacing w:val="-2"/>
              </w:rPr>
              <w:t>learner</w:t>
            </w:r>
            <w:r w:rsidRPr="00EE1857">
              <w:rPr>
                <w:color w:val="231F20"/>
                <w:spacing w:val="-2"/>
              </w:rPr>
              <w:t xml:space="preserve">s </w:t>
            </w:r>
            <w:r w:rsidR="0049633F">
              <w:rPr>
                <w:color w:val="231F20"/>
                <w:spacing w:val="-2"/>
              </w:rPr>
              <w:t xml:space="preserve">will </w:t>
            </w:r>
            <w:r w:rsidRPr="00EE1857">
              <w:rPr>
                <w:color w:val="231F20"/>
                <w:spacing w:val="-2"/>
              </w:rPr>
              <w:t>learn about:</w:t>
            </w:r>
          </w:p>
          <w:p w14:paraId="69FA181A" w14:textId="23D917D5" w:rsidR="00EE1857" w:rsidRPr="00EE1857" w:rsidRDefault="00EE1857" w:rsidP="00EE1857">
            <w:pPr>
              <w:pStyle w:val="Bullet"/>
            </w:pPr>
            <w:r w:rsidRPr="00EE1857">
              <w:t>human-computer interaction</w:t>
            </w:r>
          </w:p>
          <w:p w14:paraId="3A7B8F43" w14:textId="30DFFA3A" w:rsidR="00EE1857" w:rsidRPr="00EE1857" w:rsidRDefault="00EE1857" w:rsidP="00EE1857">
            <w:pPr>
              <w:pStyle w:val="Bullet"/>
            </w:pPr>
            <w:r w:rsidRPr="00EE1857">
              <w:t>a specific set of usability principles and mātāpono Māori</w:t>
            </w:r>
          </w:p>
          <w:p w14:paraId="3133D3CF" w14:textId="664DE3EB" w:rsidR="00EE1857" w:rsidRPr="00EE1857" w:rsidRDefault="00EE1857" w:rsidP="00EE1857">
            <w:pPr>
              <w:pStyle w:val="Bullet"/>
            </w:pPr>
            <w:r w:rsidRPr="00EE1857">
              <w:t>how to apply their principles and mātāpono to existing human-computer interfaces such as websites, apps, etc.</w:t>
            </w:r>
          </w:p>
          <w:p w14:paraId="2C517734" w14:textId="77777777" w:rsidR="00EE1857" w:rsidRPr="00EE1857" w:rsidRDefault="00EE1857" w:rsidP="00EE1857">
            <w:pPr>
              <w:pStyle w:val="TableParagraph"/>
              <w:rPr>
                <w:color w:val="231F20"/>
                <w:spacing w:val="-2"/>
              </w:rPr>
            </w:pPr>
          </w:p>
          <w:p w14:paraId="4C56D8E9" w14:textId="2BDD7CF7" w:rsidR="00EE1857" w:rsidRPr="00EE1857" w:rsidRDefault="00502D85" w:rsidP="00EE1857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Learners</w:t>
            </w:r>
            <w:r w:rsidR="0049633F">
              <w:rPr>
                <w:color w:val="231F20"/>
                <w:spacing w:val="-2"/>
              </w:rPr>
              <w:t xml:space="preserve"> will </w:t>
            </w:r>
            <w:r w:rsidR="00EE1857" w:rsidRPr="00EE1857">
              <w:rPr>
                <w:color w:val="231F20"/>
                <w:spacing w:val="-2"/>
              </w:rPr>
              <w:t xml:space="preserve">learn what their different principles and mātāpono are and how to identify them in existing outcomes. Existing outcomes may be sourced by the </w:t>
            </w:r>
            <w:r w:rsidR="00E04C41">
              <w:rPr>
                <w:color w:val="231F20"/>
                <w:spacing w:val="-2"/>
              </w:rPr>
              <w:t>learner</w:t>
            </w:r>
            <w:r w:rsidR="00EE1857" w:rsidRPr="00EE1857">
              <w:rPr>
                <w:color w:val="231F20"/>
                <w:spacing w:val="-2"/>
              </w:rPr>
              <w:t>s or provided by the teacher.</w:t>
            </w:r>
          </w:p>
          <w:p w14:paraId="3ACC4660" w14:textId="77777777" w:rsidR="00EE1857" w:rsidRPr="00EE1857" w:rsidRDefault="00EE1857" w:rsidP="00EE1857">
            <w:pPr>
              <w:pStyle w:val="TableParagraph"/>
              <w:rPr>
                <w:color w:val="231F20"/>
                <w:spacing w:val="-2"/>
              </w:rPr>
            </w:pPr>
          </w:p>
          <w:p w14:paraId="31AA2FCD" w14:textId="471843B0" w:rsidR="00EE1857" w:rsidRPr="00EE1857" w:rsidRDefault="00502D85" w:rsidP="00B80D09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Learners</w:t>
            </w:r>
            <w:r w:rsidR="00EE1857" w:rsidRPr="00EE1857">
              <w:rPr>
                <w:color w:val="231F20"/>
                <w:spacing w:val="-2"/>
              </w:rPr>
              <w:t xml:space="preserve"> recommend improvements to existing outcomes based on their principles and mātāpono.</w:t>
            </w:r>
          </w:p>
          <w:p w14:paraId="1176B798" w14:textId="77777777" w:rsidR="002E72C1" w:rsidRDefault="002E72C1" w:rsidP="00B34D9D">
            <w:pPr>
              <w:pStyle w:val="TableParagraph"/>
            </w:pPr>
          </w:p>
          <w:p w14:paraId="1212B677" w14:textId="4F65DA5B" w:rsidR="0063149B" w:rsidRDefault="00877009" w:rsidP="00877009">
            <w:pPr>
              <w:pStyle w:val="Subtitle"/>
            </w:pPr>
            <w:r w:rsidRPr="00877009">
              <w:t>Learning covered supports development of skills and knowledge toward AS 92006 (1.3) Demonstrate understanding of usability in human-computer interfaces.</w:t>
            </w:r>
          </w:p>
        </w:tc>
      </w:tr>
      <w:tr w:rsidR="0072141B" w14:paraId="7A7B6B8D" w14:textId="77777777" w:rsidTr="748F52C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1F379583" w14:textId="77777777" w:rsidR="0072141B" w:rsidRDefault="0072141B" w:rsidP="00DE0553">
            <w:pPr>
              <w:pStyle w:val="Heading6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23DD4CE3" w14:textId="77777777" w:rsidR="000B70D0" w:rsidRDefault="000B70D0" w:rsidP="0072141B">
            <w:pPr>
              <w:pStyle w:val="Heading6"/>
              <w:rPr>
                <w:sz w:val="28"/>
              </w:rPr>
            </w:pPr>
            <w:r w:rsidRPr="000B70D0">
              <w:rPr>
                <w:sz w:val="28"/>
              </w:rPr>
              <w:t>Mini project, teacher-led: design and develop an outcome</w:t>
            </w:r>
          </w:p>
          <w:p w14:paraId="326F7F82" w14:textId="2AD95793" w:rsidR="0072141B" w:rsidRDefault="0072141B" w:rsidP="0072141B">
            <w:pPr>
              <w:pStyle w:val="Heading6"/>
              <w:spacing w:after="120"/>
            </w:pPr>
            <w:r w:rsidRPr="000D5253">
              <w:rPr>
                <w:b w:val="0"/>
                <w:bCs/>
              </w:rPr>
              <w:t xml:space="preserve">Duration </w:t>
            </w:r>
            <w:r w:rsidR="00861455"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0B70D0">
              <w:rPr>
                <w:b w:val="0"/>
                <w:bCs/>
              </w:rPr>
              <w:t>6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D860EA" w14:paraId="338A2AF3" w14:textId="77777777" w:rsidTr="748F52C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3B3907C9" w14:textId="7BC861E4" w:rsidR="00DE754B" w:rsidRDefault="00DE754B" w:rsidP="00DE754B">
            <w:pPr>
              <w:pStyle w:val="Bullet"/>
            </w:pPr>
            <w:r>
              <w:t>Follow a technological process to design, develop, and document digital outcomes</w:t>
            </w:r>
          </w:p>
          <w:p w14:paraId="2F1DCE7D" w14:textId="6ADE7F85" w:rsidR="00DE754B" w:rsidRDefault="00DE754B" w:rsidP="00DE754B">
            <w:pPr>
              <w:pStyle w:val="Bullet"/>
            </w:pPr>
            <w:r>
              <w:t>Investigate and consider possible digital solutions for authentic contexts or issues</w:t>
            </w:r>
          </w:p>
          <w:p w14:paraId="56DF8B49" w14:textId="2120F6E6" w:rsidR="00DE754B" w:rsidRDefault="00DE754B" w:rsidP="00DE754B">
            <w:pPr>
              <w:pStyle w:val="Bullet"/>
            </w:pPr>
            <w:r>
              <w:t>Understand that digital technologies and the concepts that underpin them are influenced by the people that create them and the contexts in which they are developed</w:t>
            </w:r>
          </w:p>
          <w:p w14:paraId="6D9C2E93" w14:textId="26A35FC2" w:rsidR="00DE754B" w:rsidRDefault="00DE754B" w:rsidP="00DE754B">
            <w:pPr>
              <w:pStyle w:val="Bullet"/>
            </w:pPr>
            <w:r>
              <w:t>Understand that digital technologies and the concepts that underpin them impact on people, societies, and cultures</w:t>
            </w:r>
          </w:p>
          <w:p w14:paraId="599A73C3" w14:textId="78A70723" w:rsidR="00DE754B" w:rsidRDefault="00DE754B" w:rsidP="00DE754B">
            <w:pPr>
              <w:pStyle w:val="Bullet"/>
            </w:pPr>
            <w:r>
              <w:t>Evaluate the fitness for purpose of digital technologies outcomes by considering manaakitanga, kaitiakitanga, and the outcomes’ social and physical environments</w:t>
            </w:r>
          </w:p>
          <w:p w14:paraId="66D3938B" w14:textId="0F2CA27E" w:rsidR="00DE754B" w:rsidRDefault="00DE754B" w:rsidP="00DE754B">
            <w:pPr>
              <w:pStyle w:val="Bullet"/>
            </w:pPr>
            <w:r>
              <w:t>Prioritise user experience in design — practise manaakitanga by applying relevant design principles, mātāpono Māori, and usability principles</w:t>
            </w:r>
          </w:p>
          <w:p w14:paraId="16F9C5F0" w14:textId="07D8E18A" w:rsidR="00DE754B" w:rsidRDefault="00DE754B" w:rsidP="00DE754B">
            <w:pPr>
              <w:pStyle w:val="Bullet"/>
            </w:pPr>
            <w:r>
              <w:t>Use appropriate standards and conventions for digital technologies domains</w:t>
            </w:r>
          </w:p>
          <w:p w14:paraId="21631182" w14:textId="20E387F3" w:rsidR="00DE754B" w:rsidRDefault="00DE754B" w:rsidP="00DE754B">
            <w:pPr>
              <w:pStyle w:val="Bullet"/>
            </w:pPr>
            <w:r>
              <w:lastRenderedPageBreak/>
              <w:t>Apply appropriate tools and use information from testing to improve the quality of digital technologies outcomes</w:t>
            </w:r>
          </w:p>
          <w:p w14:paraId="443A7BFA" w14:textId="77777777" w:rsidR="00DE754B" w:rsidRDefault="00DE754B" w:rsidP="00DE754B">
            <w:pPr>
              <w:pStyle w:val="Bullet"/>
            </w:pPr>
            <w:r>
              <w:t>Work collaboratively and engage in talanoa, wānanga, and kōrero to share perspectives and values</w:t>
            </w:r>
          </w:p>
          <w:p w14:paraId="3060532C" w14:textId="35498E14" w:rsidR="00140800" w:rsidRDefault="00140800" w:rsidP="00140800">
            <w:pPr>
              <w:pStyle w:val="Bullet"/>
            </w:pPr>
            <w:r>
              <w:t>Recognise that new and innovative solutions to existing problems are developed through kotahitanga, and creative and critical thinking</w:t>
            </w:r>
          </w:p>
          <w:p w14:paraId="59524F2D" w14:textId="051B8B18" w:rsidR="00140800" w:rsidRDefault="00140800" w:rsidP="00140800">
            <w:pPr>
              <w:pStyle w:val="Bullet"/>
            </w:pPr>
            <w:r>
              <w:t>Understand that digital devices can collect, store, and share data, and consider the related ethical issues</w:t>
            </w:r>
          </w:p>
          <w:p w14:paraId="65552925" w14:textId="45B46569" w:rsidR="00DE754B" w:rsidRDefault="00140800" w:rsidP="00140800">
            <w:pPr>
              <w:pStyle w:val="Bullet"/>
            </w:pPr>
            <w:r>
              <w:t>Understand how compression enables widely used technologies to function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52630F52" w14:textId="12AB0C34" w:rsidR="00E23F28" w:rsidRPr="00E23F28" w:rsidRDefault="00E23F28" w:rsidP="00E23F28">
            <w:pPr>
              <w:pStyle w:val="TableParagraph"/>
              <w:rPr>
                <w:color w:val="231F20"/>
                <w:spacing w:val="-2"/>
              </w:rPr>
            </w:pPr>
            <w:r w:rsidRPr="00E23F28">
              <w:rPr>
                <w:color w:val="231F20"/>
                <w:spacing w:val="-2"/>
              </w:rPr>
              <w:lastRenderedPageBreak/>
              <w:t xml:space="preserve">This is a teacher-led project to help prepare </w:t>
            </w:r>
            <w:r w:rsidR="00E04C41">
              <w:rPr>
                <w:color w:val="231F20"/>
                <w:spacing w:val="-2"/>
              </w:rPr>
              <w:t>learner</w:t>
            </w:r>
            <w:r w:rsidRPr="00E23F28">
              <w:rPr>
                <w:color w:val="231F20"/>
                <w:spacing w:val="-2"/>
              </w:rPr>
              <w:t xml:space="preserve">s for the main project that follows. Teachers should lead </w:t>
            </w:r>
            <w:r w:rsidR="00E04C41">
              <w:rPr>
                <w:color w:val="231F20"/>
                <w:spacing w:val="-2"/>
              </w:rPr>
              <w:t>learner</w:t>
            </w:r>
            <w:r w:rsidRPr="00E23F28">
              <w:rPr>
                <w:color w:val="231F20"/>
                <w:spacing w:val="-2"/>
              </w:rPr>
              <w:t>s through the steps to design and develop a digital outcome. The context of this project could be app design, using a platform like MIT App Inventor. Teaching of relevant aspects of app design and development should happen throughout programme of learning as appropriate.</w:t>
            </w:r>
          </w:p>
          <w:p w14:paraId="3D4F94AE" w14:textId="77777777" w:rsidR="00E23F28" w:rsidRPr="00E23F28" w:rsidRDefault="00E23F28" w:rsidP="00E23F28">
            <w:pPr>
              <w:pStyle w:val="TableParagraph"/>
              <w:rPr>
                <w:color w:val="231F20"/>
                <w:spacing w:val="-2"/>
              </w:rPr>
            </w:pPr>
          </w:p>
          <w:p w14:paraId="3107B386" w14:textId="71B3F2AF" w:rsidR="00E23F28" w:rsidRPr="00E23F28" w:rsidRDefault="00E23F28" w:rsidP="00E23F28">
            <w:pPr>
              <w:pStyle w:val="TableParagraph"/>
              <w:rPr>
                <w:color w:val="231F20"/>
                <w:spacing w:val="-2"/>
              </w:rPr>
            </w:pPr>
            <w:r w:rsidRPr="00E23F28">
              <w:rPr>
                <w:color w:val="231F20"/>
                <w:spacing w:val="-2"/>
              </w:rPr>
              <w:t xml:space="preserve">Through a range of learning activities, </w:t>
            </w:r>
            <w:r w:rsidR="00E04C41">
              <w:rPr>
                <w:color w:val="231F20"/>
                <w:spacing w:val="-2"/>
              </w:rPr>
              <w:t>learners will</w:t>
            </w:r>
            <w:r w:rsidRPr="00E23F28">
              <w:rPr>
                <w:color w:val="231F20"/>
                <w:spacing w:val="-2"/>
              </w:rPr>
              <w:t xml:space="preserve"> learn about:</w:t>
            </w:r>
          </w:p>
          <w:p w14:paraId="0F7EED21" w14:textId="77777777" w:rsidR="00E23F28" w:rsidRPr="00E23F28" w:rsidRDefault="00E23F28" w:rsidP="000A2B90">
            <w:pPr>
              <w:pStyle w:val="Heading6"/>
            </w:pPr>
            <w:r w:rsidRPr="00E23F28">
              <w:t>Designing the outcome</w:t>
            </w:r>
          </w:p>
          <w:p w14:paraId="135BCF7A" w14:textId="5FCF2E40" w:rsidR="00E23F28" w:rsidRPr="00E23F28" w:rsidRDefault="00E23F28" w:rsidP="00AE765A">
            <w:pPr>
              <w:pStyle w:val="Bullet"/>
            </w:pPr>
            <w:r w:rsidRPr="00E23F28">
              <w:t>Describing a need or opportunity, the requirements, and potential user(s) for a teacher-provided context and brief.</w:t>
            </w:r>
          </w:p>
          <w:p w14:paraId="44332F8C" w14:textId="491CBDD4" w:rsidR="00E23F28" w:rsidRPr="00E23F28" w:rsidRDefault="00E23F28" w:rsidP="00AE765A">
            <w:pPr>
              <w:pStyle w:val="Bullet"/>
            </w:pPr>
            <w:r w:rsidRPr="00E23F28">
              <w:t>Investigating and considering possible solutions and selecting an appropriate solution.</w:t>
            </w:r>
          </w:p>
          <w:p w14:paraId="7AB3D87C" w14:textId="3A38A205" w:rsidR="00E23F28" w:rsidRPr="00E23F28" w:rsidRDefault="00E23F28" w:rsidP="00AE765A">
            <w:pPr>
              <w:pStyle w:val="Bullet"/>
            </w:pPr>
            <w:r w:rsidRPr="00E23F28">
              <w:t>Creating a range of design ideas and improving them using research and feedback.</w:t>
            </w:r>
          </w:p>
          <w:p w14:paraId="608509F3" w14:textId="5490ABB9" w:rsidR="00E23F28" w:rsidRPr="00E23F28" w:rsidRDefault="00E23F28" w:rsidP="00AE765A">
            <w:pPr>
              <w:pStyle w:val="Bullet"/>
            </w:pPr>
            <w:r w:rsidRPr="00E23F28">
              <w:t>Demonstrating how the design could reflect or has been informed by manaakitanga or kaitiakitanga.</w:t>
            </w:r>
          </w:p>
          <w:p w14:paraId="6ADBA7AF" w14:textId="4ABAA245" w:rsidR="00E23F28" w:rsidRPr="00E23F28" w:rsidRDefault="00E23F28" w:rsidP="00AE765A">
            <w:pPr>
              <w:pStyle w:val="Bullet"/>
            </w:pPr>
            <w:r w:rsidRPr="00E23F28">
              <w:t>Producing a chosen design for the outcome.</w:t>
            </w:r>
          </w:p>
          <w:p w14:paraId="07BCE0CF" w14:textId="35B1910B" w:rsidR="00E23F28" w:rsidRPr="00E23F28" w:rsidRDefault="00E23F28" w:rsidP="00AE765A">
            <w:pPr>
              <w:pStyle w:val="Bullet"/>
            </w:pPr>
            <w:r w:rsidRPr="00E23F28">
              <w:lastRenderedPageBreak/>
              <w:t>Reflecting on the design's fitness for purpose.</w:t>
            </w:r>
          </w:p>
          <w:p w14:paraId="74091EF7" w14:textId="77777777" w:rsidR="00E23F28" w:rsidRPr="00E23F28" w:rsidRDefault="00E23F28" w:rsidP="00E23F28">
            <w:pPr>
              <w:pStyle w:val="TableParagraph"/>
              <w:rPr>
                <w:color w:val="231F20"/>
                <w:spacing w:val="-2"/>
              </w:rPr>
            </w:pPr>
          </w:p>
          <w:p w14:paraId="1CF5EBA9" w14:textId="6C61C04A" w:rsidR="00E23F28" w:rsidRPr="00E23F28" w:rsidRDefault="00E23F28" w:rsidP="000A2B90">
            <w:pPr>
              <w:pStyle w:val="Heading6"/>
            </w:pPr>
            <w:r w:rsidRPr="00E23F28">
              <w:t>Developing the outcome</w:t>
            </w:r>
          </w:p>
          <w:p w14:paraId="215E64AC" w14:textId="723BDDF0" w:rsidR="00E23F28" w:rsidRPr="00E23F28" w:rsidRDefault="00E23F28" w:rsidP="00AE765A">
            <w:pPr>
              <w:pStyle w:val="Bullet"/>
            </w:pPr>
            <w:r w:rsidRPr="00E23F28">
              <w:t>Acquiring the skills needed to create the outcome.</w:t>
            </w:r>
          </w:p>
          <w:p w14:paraId="3D48EFC1" w14:textId="071DA9A1" w:rsidR="00E23F28" w:rsidRPr="00E23F28" w:rsidRDefault="00E23F28" w:rsidP="00AE765A">
            <w:pPr>
              <w:pStyle w:val="Bullet"/>
            </w:pPr>
            <w:r w:rsidRPr="00E23F28">
              <w:t>Describing the purpose, specifications, and user requirements of the outcome.</w:t>
            </w:r>
          </w:p>
          <w:p w14:paraId="32228DB7" w14:textId="7F9D484C" w:rsidR="00E23F28" w:rsidRPr="00E23F28" w:rsidRDefault="00E23F28" w:rsidP="00AE765A">
            <w:pPr>
              <w:pStyle w:val="Bullet"/>
            </w:pPr>
            <w:r w:rsidRPr="00E23F28">
              <w:t>Using the tools or techniques of a digital technologies domain to effectively produce a fit-for-purpose outcome.</w:t>
            </w:r>
          </w:p>
          <w:p w14:paraId="72A36DB5" w14:textId="1C482654" w:rsidR="00E23F28" w:rsidRPr="00E23F28" w:rsidRDefault="00E23F28" w:rsidP="00AE765A">
            <w:pPr>
              <w:pStyle w:val="Bullet"/>
            </w:pPr>
            <w:r w:rsidRPr="00E23F28">
              <w:t>Testing the outcome to ensure basic functionality and using information from testing to improve the outcome.</w:t>
            </w:r>
          </w:p>
          <w:p w14:paraId="02B4BCDB" w14:textId="06652307" w:rsidR="00E23F28" w:rsidRPr="00E23F28" w:rsidRDefault="00E23F28" w:rsidP="00AE765A">
            <w:pPr>
              <w:pStyle w:val="Bullet"/>
            </w:pPr>
            <w:r w:rsidRPr="00E23F28">
              <w:t>Working with other people, including end user(s) to trial the outcome to improve its fitness for purpose.</w:t>
            </w:r>
          </w:p>
          <w:p w14:paraId="6ABDDA06" w14:textId="77777777" w:rsidR="00E23F28" w:rsidRPr="00E23F28" w:rsidRDefault="00E23F28" w:rsidP="00E23F28">
            <w:pPr>
              <w:pStyle w:val="TableParagraph"/>
              <w:rPr>
                <w:color w:val="231F20"/>
                <w:spacing w:val="-2"/>
              </w:rPr>
            </w:pPr>
          </w:p>
          <w:p w14:paraId="0F185539" w14:textId="6B2A8B64" w:rsidR="00D860EA" w:rsidRDefault="00E23F28" w:rsidP="00A32034">
            <w:pPr>
              <w:pStyle w:val="TableParagraph"/>
            </w:pPr>
            <w:r w:rsidRPr="00E23F28">
              <w:rPr>
                <w:color w:val="231F20"/>
                <w:spacing w:val="-2"/>
              </w:rPr>
              <w:t xml:space="preserve">This mini project provides an opportunity for the teacher to review </w:t>
            </w:r>
            <w:r w:rsidR="00A44944">
              <w:rPr>
                <w:color w:val="231F20"/>
                <w:spacing w:val="-2"/>
              </w:rPr>
              <w:t>learners</w:t>
            </w:r>
            <w:r w:rsidRPr="00E23F28">
              <w:rPr>
                <w:color w:val="231F20"/>
                <w:spacing w:val="-2"/>
              </w:rPr>
              <w:t>’ understanding of the significant learning and to provide appropriate feedback on what is required for them to independently design and develop a digital outcome.</w:t>
            </w:r>
          </w:p>
        </w:tc>
      </w:tr>
      <w:tr w:rsidR="00DF63D6" w14:paraId="058EF37B" w14:textId="77777777" w:rsidTr="748F52C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0A089E5E" w14:textId="77777777" w:rsidR="00DF63D6" w:rsidRDefault="00DF63D6" w:rsidP="00403974">
            <w:pPr>
              <w:pStyle w:val="Heading6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2FFDDB79" w14:textId="5BFC3778" w:rsidR="00667959" w:rsidRDefault="00667959" w:rsidP="00667959">
            <w:pPr>
              <w:pStyle w:val="Heading5"/>
            </w:pPr>
            <w:r>
              <w:t xml:space="preserve">Major project, </w:t>
            </w:r>
            <w:r w:rsidR="00A44944">
              <w:t>learner</w:t>
            </w:r>
            <w:r>
              <w:t>-led: design and develop</w:t>
            </w:r>
            <w:r w:rsidR="006F48FC">
              <w:t xml:space="preserve"> a completed design and</w:t>
            </w:r>
            <w:r>
              <w:t xml:space="preserve"> an outcome</w:t>
            </w:r>
          </w:p>
          <w:p w14:paraId="4FA1999D" w14:textId="29D44024" w:rsidR="00DF63D6" w:rsidRDefault="00DF63D6" w:rsidP="00403974">
            <w:pPr>
              <w:pStyle w:val="Heading6"/>
              <w:spacing w:after="120"/>
            </w:pPr>
            <w:r w:rsidRPr="000D5253">
              <w:rPr>
                <w:b w:val="0"/>
                <w:bCs/>
              </w:rPr>
              <w:t xml:space="preserve">Duration </w:t>
            </w:r>
            <w:r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667959">
              <w:rPr>
                <w:b w:val="0"/>
                <w:bCs/>
              </w:rPr>
              <w:t>11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DF63D6" w14:paraId="66D83041" w14:textId="77777777" w:rsidTr="748F52C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23A0CB76" w14:textId="5B133692" w:rsidR="009613E6" w:rsidRDefault="009613E6" w:rsidP="009613E6">
            <w:pPr>
              <w:pStyle w:val="Bullet"/>
            </w:pPr>
            <w:r>
              <w:t>Investigate and consider possible digital solutions for authentic contexts or issues</w:t>
            </w:r>
          </w:p>
          <w:p w14:paraId="6AAA4036" w14:textId="77777777" w:rsidR="009613E6" w:rsidRDefault="009613E6" w:rsidP="009613E6">
            <w:pPr>
              <w:pStyle w:val="Bullet"/>
            </w:pPr>
            <w:r>
              <w:t>Understand that digital technologies and the concepts that underpin them are influenced by the people that create them and the contexts in which they are developed</w:t>
            </w:r>
          </w:p>
          <w:p w14:paraId="42011DEC" w14:textId="03D6F262" w:rsidR="009613E6" w:rsidRDefault="009613E6" w:rsidP="009613E6">
            <w:pPr>
              <w:pStyle w:val="Bullet"/>
            </w:pPr>
            <w:r>
              <w:t>Understand that digital technologies and the concepts that underpin them impact on people, societies, and cultures</w:t>
            </w:r>
          </w:p>
          <w:p w14:paraId="29BDCD39" w14:textId="77777777" w:rsidR="009613E6" w:rsidRDefault="009613E6" w:rsidP="009613E6">
            <w:pPr>
              <w:pStyle w:val="Bullet"/>
            </w:pPr>
            <w:r>
              <w:t xml:space="preserve">Understand how digital technologies impact on end users by considering the following mātāpono Māori: kotahitanga, whanaungatanga, manaakitanga, </w:t>
            </w:r>
            <w:proofErr w:type="spellStart"/>
            <w:r>
              <w:t>wairuatanga</w:t>
            </w:r>
            <w:proofErr w:type="spellEnd"/>
            <w:r>
              <w:t>, kaitiakitanga, and tikanga</w:t>
            </w:r>
          </w:p>
          <w:p w14:paraId="35417963" w14:textId="31FB5964" w:rsidR="00ED1813" w:rsidRDefault="00ED1813" w:rsidP="00ED1813">
            <w:pPr>
              <w:pStyle w:val="Bullet"/>
            </w:pPr>
            <w:r>
              <w:t>Evaluate the fitness for purpose of digital technologies outcomes by considering manaakitanga, kaitiakitanga, and the outcomes’ social and physical environments</w:t>
            </w:r>
          </w:p>
          <w:p w14:paraId="7DB4E738" w14:textId="50503B29" w:rsidR="00ED1813" w:rsidRDefault="00ED1813" w:rsidP="00ED1813">
            <w:pPr>
              <w:pStyle w:val="Bullet"/>
            </w:pPr>
            <w:r>
              <w:t>Prioritise user experience in design ― practise manaakitanga by applying relevant design principles, mātāpono Māori, and usability principles</w:t>
            </w:r>
          </w:p>
          <w:p w14:paraId="3ABACF5E" w14:textId="7DCB29CF" w:rsidR="00ED1813" w:rsidRDefault="00ED1813" w:rsidP="00ED1813">
            <w:pPr>
              <w:pStyle w:val="Bullet"/>
            </w:pPr>
            <w:r>
              <w:t>Use appropriate standards and conventions for digital technologies domains</w:t>
            </w:r>
          </w:p>
          <w:p w14:paraId="696E52AE" w14:textId="15A0EAD2" w:rsidR="00ED1813" w:rsidRDefault="00ED1813" w:rsidP="00ED1813">
            <w:pPr>
              <w:pStyle w:val="Bullet"/>
            </w:pPr>
            <w:r>
              <w:t>Apply appropriate tools and use information from testing to improve the quality of digital technologies outcomes</w:t>
            </w:r>
          </w:p>
          <w:p w14:paraId="195EB9AF" w14:textId="77777777" w:rsidR="009613E6" w:rsidRDefault="00ED1813" w:rsidP="00ED1813">
            <w:pPr>
              <w:pStyle w:val="Bullet"/>
            </w:pPr>
            <w:r>
              <w:t>Work collaboratively and engage in talanoa, wānanga, and kōrero to share perspectives and values</w:t>
            </w:r>
          </w:p>
          <w:p w14:paraId="36940099" w14:textId="20BEDFEC" w:rsidR="00E64269" w:rsidRDefault="00E64269" w:rsidP="00E64269">
            <w:pPr>
              <w:pStyle w:val="Bullet"/>
            </w:pPr>
            <w:r>
              <w:t>Recognise that new and innovative solutions to existing problems are developed through kotahitanga, and creative and critical thinking</w:t>
            </w:r>
          </w:p>
          <w:p w14:paraId="61483508" w14:textId="3423AD80" w:rsidR="00E64269" w:rsidRDefault="00E64269" w:rsidP="00E64269">
            <w:pPr>
              <w:pStyle w:val="Bullet"/>
            </w:pPr>
            <w:r>
              <w:t>Use appropriate strategies to manage time and resources for completing a project</w:t>
            </w:r>
          </w:p>
          <w:p w14:paraId="51492602" w14:textId="77777777" w:rsidR="00ED1813" w:rsidRDefault="00E64269" w:rsidP="00E64269">
            <w:pPr>
              <w:pStyle w:val="Bullet"/>
            </w:pPr>
            <w:r>
              <w:t>Be aware of relevant occupational safety and health practices</w:t>
            </w:r>
          </w:p>
          <w:p w14:paraId="10E1C6A7" w14:textId="77777777" w:rsidR="00DD3C2C" w:rsidRPr="00DD3C2C" w:rsidRDefault="00DD3C2C" w:rsidP="00DD3C2C"/>
          <w:p w14:paraId="3B73A983" w14:textId="77777777" w:rsidR="00DD3C2C" w:rsidRPr="00DD3C2C" w:rsidRDefault="00DD3C2C" w:rsidP="00DD3C2C"/>
          <w:p w14:paraId="3957062E" w14:textId="5F3AD2A4" w:rsidR="00DD3C2C" w:rsidRPr="00DD3C2C" w:rsidRDefault="00DD3C2C" w:rsidP="00DD3C2C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3D60F563" w14:textId="634D1E9E" w:rsidR="00322C3A" w:rsidRPr="00322C3A" w:rsidRDefault="00322C3A" w:rsidP="00322C3A">
            <w:pPr>
              <w:pStyle w:val="TableParagraph"/>
              <w:rPr>
                <w:color w:val="231F20"/>
                <w:spacing w:val="-2"/>
              </w:rPr>
            </w:pPr>
            <w:r w:rsidRPr="00322C3A">
              <w:rPr>
                <w:color w:val="231F20"/>
                <w:spacing w:val="-2"/>
              </w:rPr>
              <w:t xml:space="preserve">This is a </w:t>
            </w:r>
            <w:r w:rsidR="00A44944">
              <w:rPr>
                <w:color w:val="231F20"/>
                <w:spacing w:val="-2"/>
              </w:rPr>
              <w:t>learner</w:t>
            </w:r>
            <w:r w:rsidRPr="00322C3A">
              <w:rPr>
                <w:color w:val="231F20"/>
                <w:spacing w:val="-2"/>
              </w:rPr>
              <w:t xml:space="preserve">-led project. The </w:t>
            </w:r>
            <w:r w:rsidR="001C3473">
              <w:rPr>
                <w:color w:val="231F20"/>
                <w:spacing w:val="-2"/>
              </w:rPr>
              <w:t xml:space="preserve">authentic </w:t>
            </w:r>
            <w:r w:rsidRPr="00322C3A">
              <w:rPr>
                <w:color w:val="231F20"/>
                <w:spacing w:val="-2"/>
              </w:rPr>
              <w:t xml:space="preserve">context is open, and </w:t>
            </w:r>
            <w:r w:rsidR="00A44944">
              <w:rPr>
                <w:color w:val="231F20"/>
                <w:spacing w:val="-2"/>
              </w:rPr>
              <w:t>learners</w:t>
            </w:r>
            <w:r w:rsidRPr="00322C3A">
              <w:rPr>
                <w:color w:val="231F20"/>
                <w:spacing w:val="-2"/>
              </w:rPr>
              <w:t xml:space="preserve"> may choose to work in a Digital Technologies domain of interest. Teachers should guide </w:t>
            </w:r>
            <w:r w:rsidR="00155234">
              <w:rPr>
                <w:color w:val="231F20"/>
                <w:spacing w:val="-2"/>
              </w:rPr>
              <w:t>learners</w:t>
            </w:r>
            <w:r w:rsidRPr="00322C3A">
              <w:rPr>
                <w:color w:val="231F20"/>
                <w:spacing w:val="-2"/>
              </w:rPr>
              <w:t xml:space="preserve"> to identify an appropriate need and possible solution. </w:t>
            </w:r>
          </w:p>
          <w:p w14:paraId="4BB2A1F8" w14:textId="77777777" w:rsidR="00322C3A" w:rsidRPr="00322C3A" w:rsidRDefault="00322C3A" w:rsidP="00322C3A">
            <w:pPr>
              <w:pStyle w:val="TableParagraph"/>
              <w:rPr>
                <w:color w:val="231F20"/>
                <w:spacing w:val="-2"/>
              </w:rPr>
            </w:pPr>
          </w:p>
          <w:p w14:paraId="1EFC7A1E" w14:textId="77043C96" w:rsidR="00322C3A" w:rsidRPr="00322C3A" w:rsidRDefault="00322C3A" w:rsidP="00322C3A">
            <w:pPr>
              <w:pStyle w:val="TableParagraph"/>
              <w:rPr>
                <w:color w:val="231F20"/>
                <w:spacing w:val="-2"/>
              </w:rPr>
            </w:pPr>
            <w:r w:rsidRPr="00322C3A">
              <w:rPr>
                <w:color w:val="231F20"/>
                <w:spacing w:val="-2"/>
              </w:rPr>
              <w:t xml:space="preserve">Teachers could provide a brief for </w:t>
            </w:r>
            <w:r w:rsidR="00155234">
              <w:rPr>
                <w:color w:val="231F20"/>
                <w:spacing w:val="-2"/>
              </w:rPr>
              <w:t>learner</w:t>
            </w:r>
            <w:r w:rsidRPr="00322C3A">
              <w:rPr>
                <w:color w:val="231F20"/>
                <w:spacing w:val="-2"/>
              </w:rPr>
              <w:t xml:space="preserve">s to follow before the design stage, or before the development stage. For example, the </w:t>
            </w:r>
            <w:r w:rsidR="00155234">
              <w:rPr>
                <w:color w:val="231F20"/>
                <w:spacing w:val="-2"/>
              </w:rPr>
              <w:t xml:space="preserve">learner </w:t>
            </w:r>
            <w:r w:rsidRPr="00322C3A">
              <w:rPr>
                <w:color w:val="231F20"/>
                <w:spacing w:val="-2"/>
              </w:rPr>
              <w:t xml:space="preserve">could provide their own </w:t>
            </w:r>
            <w:r w:rsidR="00663F6A">
              <w:rPr>
                <w:color w:val="231F20"/>
                <w:spacing w:val="-2"/>
              </w:rPr>
              <w:t xml:space="preserve">authentic </w:t>
            </w:r>
            <w:r w:rsidRPr="00322C3A">
              <w:rPr>
                <w:color w:val="231F20"/>
                <w:spacing w:val="-2"/>
              </w:rPr>
              <w:t xml:space="preserve">context for the design section of the project but the outcome they propose may be too “big” to complete in the time they have, so a modified proposal could be provided by the teacher for the development part of the project. Or the </w:t>
            </w:r>
            <w:r w:rsidR="00155234">
              <w:rPr>
                <w:color w:val="231F20"/>
                <w:spacing w:val="-2"/>
              </w:rPr>
              <w:t>learner</w:t>
            </w:r>
            <w:r w:rsidRPr="00322C3A">
              <w:rPr>
                <w:color w:val="231F20"/>
                <w:spacing w:val="-2"/>
              </w:rPr>
              <w:t xml:space="preserve"> may struggle to think of a suitable context and solution, so the teacher may provide them with a brief at the start.</w:t>
            </w:r>
          </w:p>
          <w:p w14:paraId="56E58E43" w14:textId="77777777" w:rsidR="00322C3A" w:rsidRPr="00322C3A" w:rsidRDefault="00322C3A" w:rsidP="00322C3A">
            <w:pPr>
              <w:pStyle w:val="TableParagraph"/>
              <w:rPr>
                <w:color w:val="231F20"/>
                <w:spacing w:val="-2"/>
              </w:rPr>
            </w:pPr>
          </w:p>
          <w:p w14:paraId="3F8F977A" w14:textId="09811702" w:rsidR="00322C3A" w:rsidRPr="00322C3A" w:rsidRDefault="00155234" w:rsidP="00322C3A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Learners</w:t>
            </w:r>
            <w:r w:rsidR="00322C3A" w:rsidRPr="00322C3A">
              <w:rPr>
                <w:color w:val="231F20"/>
                <w:spacing w:val="-2"/>
              </w:rPr>
              <w:t xml:space="preserve"> may need to acquire some new skills to successfully develop their </w:t>
            </w:r>
            <w:r w:rsidR="00EB40AD" w:rsidRPr="47FC4415">
              <w:rPr>
                <w:color w:val="231F20"/>
              </w:rPr>
              <w:t xml:space="preserve">completed design and authentic </w:t>
            </w:r>
            <w:r w:rsidR="00322C3A" w:rsidRPr="00322C3A">
              <w:rPr>
                <w:color w:val="231F20"/>
                <w:spacing w:val="-2"/>
              </w:rPr>
              <w:t xml:space="preserve">outcome, so time has been allocated for this. Teachers should guide </w:t>
            </w:r>
            <w:r w:rsidR="003D6959">
              <w:rPr>
                <w:color w:val="231F20"/>
                <w:spacing w:val="-2"/>
              </w:rPr>
              <w:t>learner</w:t>
            </w:r>
            <w:r w:rsidR="00322C3A" w:rsidRPr="00322C3A">
              <w:rPr>
                <w:color w:val="231F20"/>
                <w:spacing w:val="-2"/>
              </w:rPr>
              <w:t xml:space="preserve">s to appropriate resources that can help them learn the skills required. </w:t>
            </w:r>
          </w:p>
          <w:p w14:paraId="02B2F5D2" w14:textId="77777777" w:rsidR="00322C3A" w:rsidRPr="00322C3A" w:rsidRDefault="00322C3A" w:rsidP="00322C3A">
            <w:pPr>
              <w:pStyle w:val="TableParagraph"/>
              <w:rPr>
                <w:color w:val="231F20"/>
                <w:spacing w:val="-2"/>
              </w:rPr>
            </w:pPr>
          </w:p>
          <w:p w14:paraId="268D2C3E" w14:textId="6A3A9B66" w:rsidR="00322C3A" w:rsidRPr="00322C3A" w:rsidRDefault="00C7511A" w:rsidP="008736BB">
            <w:pPr>
              <w:pStyle w:val="Heading6"/>
            </w:pPr>
            <w:r>
              <w:t>Developing the completed design</w:t>
            </w:r>
          </w:p>
          <w:p w14:paraId="10E70DC9" w14:textId="595F2515" w:rsidR="00322C3A" w:rsidRPr="00322C3A" w:rsidRDefault="00322C3A" w:rsidP="008736BB">
            <w:pPr>
              <w:pStyle w:val="Bullet"/>
            </w:pPr>
            <w:r w:rsidRPr="00322C3A">
              <w:t>Describing a need or opportunity, the requirements, and potential user(s) for</w:t>
            </w:r>
            <w:r w:rsidR="00462697">
              <w:t xml:space="preserve"> an</w:t>
            </w:r>
            <w:r w:rsidRPr="00322C3A">
              <w:t xml:space="preserve"> </w:t>
            </w:r>
            <w:r w:rsidR="0041056F">
              <w:t xml:space="preserve">authentic </w:t>
            </w:r>
            <w:r w:rsidRPr="00322C3A">
              <w:t>context and brief.</w:t>
            </w:r>
          </w:p>
          <w:p w14:paraId="0B089889" w14:textId="36AB5B61" w:rsidR="00322C3A" w:rsidRPr="00322C3A" w:rsidRDefault="00322C3A" w:rsidP="008736BB">
            <w:pPr>
              <w:pStyle w:val="Bullet"/>
            </w:pPr>
            <w:r>
              <w:t xml:space="preserve">Investigating and considering possible solutions </w:t>
            </w:r>
            <w:r w:rsidR="00530E30">
              <w:t xml:space="preserve">for the </w:t>
            </w:r>
            <w:r w:rsidR="00817231">
              <w:t xml:space="preserve">feasible </w:t>
            </w:r>
            <w:r w:rsidR="00530E30">
              <w:t xml:space="preserve">outcome </w:t>
            </w:r>
            <w:r>
              <w:t>and selecting an appropriate solution</w:t>
            </w:r>
            <w:r w:rsidR="00BA5F87">
              <w:t xml:space="preserve"> to develop</w:t>
            </w:r>
            <w:r>
              <w:t>.</w:t>
            </w:r>
          </w:p>
          <w:p w14:paraId="63D0824E" w14:textId="2534C2C2" w:rsidR="00322C3A" w:rsidRPr="00322C3A" w:rsidRDefault="00322C3A" w:rsidP="008736BB">
            <w:pPr>
              <w:pStyle w:val="Bullet"/>
            </w:pPr>
            <w:r w:rsidRPr="00322C3A">
              <w:t>Creating a range of design ideas and improving them using research</w:t>
            </w:r>
            <w:r w:rsidR="000E68C3">
              <w:t>, design principles</w:t>
            </w:r>
            <w:r w:rsidR="006E0E34">
              <w:t>,</w:t>
            </w:r>
            <w:r w:rsidRPr="00322C3A">
              <w:t xml:space="preserve"> and feedback.</w:t>
            </w:r>
          </w:p>
          <w:p w14:paraId="5123CF90" w14:textId="44FEDBDB" w:rsidR="00322C3A" w:rsidRPr="00322C3A" w:rsidRDefault="00322C3A" w:rsidP="008736BB">
            <w:pPr>
              <w:pStyle w:val="Bullet"/>
            </w:pPr>
            <w:r w:rsidRPr="00322C3A">
              <w:t>Demonstrating how the</w:t>
            </w:r>
            <w:r w:rsidR="0041056F">
              <w:t xml:space="preserve"> completed </w:t>
            </w:r>
            <w:r w:rsidRPr="00322C3A">
              <w:t>design reflect</w:t>
            </w:r>
            <w:r w:rsidR="002E106B">
              <w:t>s</w:t>
            </w:r>
            <w:r w:rsidR="00631D6A">
              <w:t>,</w:t>
            </w:r>
            <w:r w:rsidRPr="00322C3A">
              <w:t xml:space="preserve"> or has been informed by</w:t>
            </w:r>
            <w:r w:rsidR="00631D6A">
              <w:t>,</w:t>
            </w:r>
            <w:r w:rsidRPr="00322C3A">
              <w:t xml:space="preserve"> manaakitanga or kaitiakitanga.</w:t>
            </w:r>
          </w:p>
          <w:p w14:paraId="65DEB05C" w14:textId="37628C5E" w:rsidR="00322C3A" w:rsidRPr="00322C3A" w:rsidRDefault="00322C3A" w:rsidP="008736BB">
            <w:pPr>
              <w:pStyle w:val="Bullet"/>
            </w:pPr>
            <w:r w:rsidRPr="00322C3A">
              <w:t xml:space="preserve">Producing a </w:t>
            </w:r>
            <w:r w:rsidR="002E106B">
              <w:t xml:space="preserve">completed </w:t>
            </w:r>
            <w:r w:rsidRPr="00322C3A">
              <w:t xml:space="preserve">design </w:t>
            </w:r>
            <w:r w:rsidRPr="00275243">
              <w:t xml:space="preserve">for the </w:t>
            </w:r>
            <w:r w:rsidR="000110F9" w:rsidRPr="004A509D">
              <w:t xml:space="preserve">selected </w:t>
            </w:r>
            <w:r w:rsidR="00625C07" w:rsidRPr="004A509D">
              <w:t>solution</w:t>
            </w:r>
            <w:r w:rsidR="000110F9" w:rsidRPr="004A509D">
              <w:t>.</w:t>
            </w:r>
          </w:p>
          <w:p w14:paraId="2B20AC97" w14:textId="1086321E" w:rsidR="00322C3A" w:rsidRPr="00322C3A" w:rsidRDefault="00322C3A" w:rsidP="008736BB">
            <w:pPr>
              <w:pStyle w:val="Bullet"/>
            </w:pPr>
            <w:r w:rsidRPr="00322C3A">
              <w:t>Reflecting on the</w:t>
            </w:r>
            <w:r w:rsidR="00E25638">
              <w:t xml:space="preserve"> completed</w:t>
            </w:r>
            <w:r w:rsidRPr="00322C3A">
              <w:t xml:space="preserve"> design's fitness for purpose.</w:t>
            </w:r>
          </w:p>
          <w:p w14:paraId="1F89D74D" w14:textId="77777777" w:rsidR="00322C3A" w:rsidRPr="00322C3A" w:rsidRDefault="00322C3A" w:rsidP="00322C3A">
            <w:pPr>
              <w:pStyle w:val="TableParagraph"/>
              <w:rPr>
                <w:color w:val="231F20"/>
                <w:spacing w:val="-2"/>
              </w:rPr>
            </w:pPr>
          </w:p>
          <w:p w14:paraId="06157287" w14:textId="362EC861" w:rsidR="00322C3A" w:rsidRPr="00322C3A" w:rsidRDefault="00896A5D" w:rsidP="002F1D99">
            <w:pPr>
              <w:pStyle w:val="Heading6"/>
            </w:pPr>
            <w:r>
              <w:t xml:space="preserve">Creating </w:t>
            </w:r>
            <w:r w:rsidR="003F64DA">
              <w:t>an</w:t>
            </w:r>
            <w:r w:rsidR="5590837D">
              <w:t xml:space="preserve"> outcome</w:t>
            </w:r>
          </w:p>
          <w:p w14:paraId="0368D81F" w14:textId="56E43253" w:rsidR="00322C3A" w:rsidRPr="00322C3A" w:rsidRDefault="00322C3A" w:rsidP="008736BB">
            <w:pPr>
              <w:pStyle w:val="Bullet"/>
            </w:pPr>
            <w:r w:rsidRPr="00322C3A">
              <w:t>Describing the purpose, specifications, and user requirements of the outcome</w:t>
            </w:r>
            <w:r w:rsidR="00D70C23">
              <w:t xml:space="preserve"> within an authentic </w:t>
            </w:r>
            <w:r w:rsidR="00663743">
              <w:t xml:space="preserve">issue or </w:t>
            </w:r>
            <w:r w:rsidR="00D70C23">
              <w:t>context</w:t>
            </w:r>
            <w:r w:rsidRPr="00322C3A">
              <w:t>.</w:t>
            </w:r>
          </w:p>
          <w:p w14:paraId="6837D47B" w14:textId="2B83E7FD" w:rsidR="00322C3A" w:rsidRPr="00322C3A" w:rsidRDefault="00322C3A" w:rsidP="008736BB">
            <w:pPr>
              <w:pStyle w:val="Bullet"/>
            </w:pPr>
            <w:r w:rsidRPr="00322C3A">
              <w:t xml:space="preserve">Using the tools or techniques of a digital technologies domain to effectively </w:t>
            </w:r>
            <w:r w:rsidR="00BA678A">
              <w:t>create the</w:t>
            </w:r>
            <w:r w:rsidRPr="00322C3A">
              <w:t xml:space="preserve"> fit-for-purpose outcome.</w:t>
            </w:r>
          </w:p>
          <w:p w14:paraId="40DF6DDE" w14:textId="74FD6267" w:rsidR="00322C3A" w:rsidRPr="00322C3A" w:rsidRDefault="00322C3A" w:rsidP="008736BB">
            <w:pPr>
              <w:pStyle w:val="Bullet"/>
            </w:pPr>
            <w:r w:rsidRPr="00322C3A">
              <w:t>Testing the outcome to ensure basic functionality and using information from testing to improve the outcome.</w:t>
            </w:r>
          </w:p>
          <w:p w14:paraId="45F2F271" w14:textId="108F8505" w:rsidR="008736BB" w:rsidRDefault="00EC40B9" w:rsidP="00B80D09">
            <w:pPr>
              <w:pStyle w:val="Bullet"/>
            </w:pPr>
            <w:r>
              <w:lastRenderedPageBreak/>
              <w:t xml:space="preserve">Using </w:t>
            </w:r>
            <w:r w:rsidR="003404EB">
              <w:t>feedback</w:t>
            </w:r>
            <w:r w:rsidR="00227A76">
              <w:t xml:space="preserve"> </w:t>
            </w:r>
            <w:r w:rsidR="00A702A2">
              <w:t>from</w:t>
            </w:r>
            <w:r w:rsidR="00227A76">
              <w:t xml:space="preserve"> </w:t>
            </w:r>
            <w:r w:rsidR="00322C3A">
              <w:t>trial</w:t>
            </w:r>
            <w:r w:rsidR="00232591">
              <w:t>ling</w:t>
            </w:r>
            <w:r w:rsidR="00322C3A">
              <w:t xml:space="preserve"> the outcome</w:t>
            </w:r>
            <w:r w:rsidR="00423731">
              <w:t xml:space="preserve"> with potential users</w:t>
            </w:r>
            <w:r w:rsidR="00322C3A">
              <w:t xml:space="preserve"> to improve its fitness for purpose.</w:t>
            </w:r>
          </w:p>
          <w:p w14:paraId="1680345F" w14:textId="77777777" w:rsidR="002E72C1" w:rsidRDefault="002E72C1" w:rsidP="00B34D9D">
            <w:pPr>
              <w:pStyle w:val="TableParagraph"/>
            </w:pPr>
          </w:p>
          <w:p w14:paraId="169ED82F" w14:textId="35FBC34D" w:rsidR="00DF63D6" w:rsidRDefault="00AD3DFF" w:rsidP="000350AC">
            <w:pPr>
              <w:pStyle w:val="Subtitle"/>
            </w:pPr>
            <w:r w:rsidRPr="00AD3DFF">
              <w:t xml:space="preserve">Learning covered supports development of skills and knowledge toward AS 92005 (1.2) Develop a digital technologies outcome </w:t>
            </w:r>
            <w:r w:rsidR="006172F4">
              <w:t>AND</w:t>
            </w:r>
            <w:r w:rsidR="000350AC">
              <w:t xml:space="preserve"> </w:t>
            </w:r>
            <w:r w:rsidRPr="00AD3DFF">
              <w:t>AS 92007 (1.4) Design a digital technologies outcome.</w:t>
            </w:r>
            <w:r w:rsidR="00DF63D6">
              <w:t xml:space="preserve"> </w:t>
            </w:r>
          </w:p>
        </w:tc>
      </w:tr>
      <w:tr w:rsidR="00DF63D6" w14:paraId="7ADE0D65" w14:textId="77777777" w:rsidTr="748F52C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0EC01BC3" w14:textId="77777777" w:rsidR="00DF63D6" w:rsidRDefault="00DF63D6" w:rsidP="00403974">
            <w:pPr>
              <w:pStyle w:val="Heading6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69F6D16B" w14:textId="77777777" w:rsidR="001E0DAD" w:rsidRDefault="001E0DAD" w:rsidP="001E0DAD">
            <w:pPr>
              <w:pStyle w:val="Heading5"/>
            </w:pPr>
            <w:r w:rsidRPr="001E0DAD">
              <w:t>Programming</w:t>
            </w:r>
          </w:p>
          <w:p w14:paraId="3824E7D1" w14:textId="54333F9C" w:rsidR="00DF63D6" w:rsidRDefault="00DF63D6" w:rsidP="00403974">
            <w:pPr>
              <w:pStyle w:val="Heading6"/>
              <w:spacing w:after="120"/>
            </w:pPr>
            <w:r w:rsidRPr="000D5253">
              <w:rPr>
                <w:b w:val="0"/>
                <w:bCs/>
              </w:rPr>
              <w:t xml:space="preserve">Duration </w:t>
            </w:r>
            <w:r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5944B8">
              <w:rPr>
                <w:b w:val="0"/>
                <w:bCs/>
              </w:rPr>
              <w:t>9</w:t>
            </w:r>
            <w:r w:rsidRPr="000D5253">
              <w:rPr>
                <w:b w:val="0"/>
                <w:bCs/>
              </w:rPr>
              <w:t xml:space="preserve"> weeks</w:t>
            </w:r>
            <w:r w:rsidR="005944B8">
              <w:rPr>
                <w:b w:val="0"/>
                <w:bCs/>
              </w:rPr>
              <w:t xml:space="preserve"> (t</w:t>
            </w:r>
            <w:r w:rsidR="005944B8" w:rsidRPr="005944B8">
              <w:rPr>
                <w:b w:val="0"/>
                <w:bCs/>
              </w:rPr>
              <w:t>he timeframe includes assessment time of about 4 weeks</w:t>
            </w:r>
            <w:r w:rsidR="005944B8">
              <w:rPr>
                <w:b w:val="0"/>
                <w:bCs/>
              </w:rPr>
              <w:t>)</w:t>
            </w:r>
          </w:p>
        </w:tc>
      </w:tr>
      <w:tr w:rsidR="00DF63D6" w14:paraId="482377C4" w14:textId="77777777" w:rsidTr="748F52C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32A0D8FF" w14:textId="628D17E1" w:rsidR="0020138B" w:rsidRDefault="0020138B" w:rsidP="0020138B">
            <w:pPr>
              <w:pStyle w:val="Bullet"/>
            </w:pPr>
            <w:r>
              <w:t>Understand the nature of computation and apply appropriate reasoning about the behaviour of basic programs</w:t>
            </w:r>
          </w:p>
          <w:p w14:paraId="383528D9" w14:textId="5CB6432D" w:rsidR="0020138B" w:rsidRDefault="0020138B" w:rsidP="0020138B">
            <w:pPr>
              <w:pStyle w:val="Bullet"/>
            </w:pPr>
            <w:r>
              <w:t>Apply basic computational thinking skills (decomposition, abstraction, pattern recognition, algorithms, logic, and evaluation) to write and debug computer programs</w:t>
            </w:r>
          </w:p>
          <w:p w14:paraId="6D059B3C" w14:textId="5FFB79BE" w:rsidR="0020138B" w:rsidRDefault="0020138B" w:rsidP="0020138B">
            <w:pPr>
              <w:pStyle w:val="Bullet"/>
            </w:pPr>
            <w:r>
              <w:t>Understand that the cost (or computational complexity) can differ between two iterative algorithms for the same problem size</w:t>
            </w:r>
          </w:p>
          <w:p w14:paraId="14B10C10" w14:textId="775E4680" w:rsidR="0020138B" w:rsidRDefault="0020138B" w:rsidP="0020138B">
            <w:pPr>
              <w:pStyle w:val="Bullet"/>
            </w:pPr>
            <w:r>
              <w:t>Demonstrate learner agency and persevere when things fail</w:t>
            </w:r>
          </w:p>
          <w:p w14:paraId="0F558574" w14:textId="672873B6" w:rsidR="0020138B" w:rsidRDefault="0020138B" w:rsidP="0020138B">
            <w:pPr>
              <w:pStyle w:val="Bullet"/>
            </w:pPr>
            <w:r>
              <w:t>Anticipate and find solutions to problems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2BD40552" w14:textId="3DFA63EA" w:rsidR="00B36080" w:rsidRPr="00B36080" w:rsidRDefault="00B36080" w:rsidP="00B36080">
            <w:pPr>
              <w:pStyle w:val="TableParagraph"/>
              <w:rPr>
                <w:color w:val="231F20"/>
                <w:spacing w:val="-2"/>
              </w:rPr>
            </w:pPr>
            <w:r w:rsidRPr="00B36080">
              <w:rPr>
                <w:color w:val="231F20"/>
                <w:spacing w:val="-2"/>
              </w:rPr>
              <w:t xml:space="preserve">Through a range of learning activities, </w:t>
            </w:r>
            <w:r w:rsidR="003D6959">
              <w:rPr>
                <w:color w:val="231F20"/>
                <w:spacing w:val="-2"/>
              </w:rPr>
              <w:t>learner</w:t>
            </w:r>
            <w:r w:rsidRPr="00B36080">
              <w:rPr>
                <w:color w:val="231F20"/>
                <w:spacing w:val="-2"/>
              </w:rPr>
              <w:t xml:space="preserve">s </w:t>
            </w:r>
            <w:r w:rsidR="003D6959">
              <w:rPr>
                <w:color w:val="231F20"/>
                <w:spacing w:val="-2"/>
              </w:rPr>
              <w:t xml:space="preserve">will </w:t>
            </w:r>
            <w:r w:rsidRPr="00B36080">
              <w:rPr>
                <w:color w:val="231F20"/>
                <w:spacing w:val="-2"/>
              </w:rPr>
              <w:t>learn about:</w:t>
            </w:r>
          </w:p>
          <w:p w14:paraId="7FDCE99C" w14:textId="69668CD5" w:rsidR="00B36080" w:rsidRPr="00B36080" w:rsidRDefault="00B36080" w:rsidP="00B36080">
            <w:pPr>
              <w:pStyle w:val="Bullet"/>
            </w:pPr>
            <w:r w:rsidRPr="00B36080">
              <w:t>input and output</w:t>
            </w:r>
          </w:p>
          <w:p w14:paraId="58FB092B" w14:textId="0F141DDE" w:rsidR="00B36080" w:rsidRPr="00B36080" w:rsidRDefault="00B36080" w:rsidP="00B36080">
            <w:pPr>
              <w:pStyle w:val="Bullet"/>
            </w:pPr>
            <w:r w:rsidRPr="00B36080">
              <w:t>variables and data types</w:t>
            </w:r>
          </w:p>
          <w:p w14:paraId="319BAE6F" w14:textId="1FD9E508" w:rsidR="00B36080" w:rsidRPr="00B36080" w:rsidRDefault="00B36080" w:rsidP="00B36080">
            <w:pPr>
              <w:pStyle w:val="Bullet"/>
            </w:pPr>
            <w:r w:rsidRPr="00B36080">
              <w:t>conditional statements</w:t>
            </w:r>
          </w:p>
          <w:p w14:paraId="3C7F9CCF" w14:textId="3FA4C065" w:rsidR="00B36080" w:rsidRPr="00B36080" w:rsidRDefault="00B36080" w:rsidP="00B36080">
            <w:pPr>
              <w:pStyle w:val="Bullet"/>
            </w:pPr>
            <w:r w:rsidRPr="00B36080">
              <w:t>loops</w:t>
            </w:r>
          </w:p>
          <w:p w14:paraId="06AF8BCB" w14:textId="77414E64" w:rsidR="00B36080" w:rsidRPr="00B36080" w:rsidRDefault="00B36080" w:rsidP="00B36080">
            <w:pPr>
              <w:pStyle w:val="Bullet"/>
            </w:pPr>
            <w:r w:rsidRPr="00B36080">
              <w:t>collections</w:t>
            </w:r>
          </w:p>
          <w:p w14:paraId="17928F04" w14:textId="27509491" w:rsidR="00B36080" w:rsidRDefault="00B36080" w:rsidP="00B36080">
            <w:pPr>
              <w:pStyle w:val="Bullet"/>
            </w:pPr>
            <w:r w:rsidRPr="00B36080">
              <w:t>modular programming (with functions, methods, etc).</w:t>
            </w:r>
          </w:p>
          <w:p w14:paraId="1DD1ADBC" w14:textId="77777777" w:rsidR="00E7009E" w:rsidRPr="00B36080" w:rsidRDefault="00E7009E" w:rsidP="00E7009E">
            <w:pPr>
              <w:pStyle w:val="TableParagraph"/>
            </w:pPr>
          </w:p>
          <w:p w14:paraId="6C853CA1" w14:textId="6D264E25" w:rsidR="00B36080" w:rsidRPr="00B36080" w:rsidRDefault="003D6959" w:rsidP="00B36080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Learners will</w:t>
            </w:r>
            <w:r w:rsidR="00B36080" w:rsidRPr="00B36080">
              <w:rPr>
                <w:color w:val="231F20"/>
                <w:spacing w:val="-2"/>
              </w:rPr>
              <w:t xml:space="preserve"> learn to decompose problems into discrete parts, and to design algorithms using different methods of representation such as flowcharts or pseudocode.</w:t>
            </w:r>
          </w:p>
          <w:p w14:paraId="4E73E4D3" w14:textId="77777777" w:rsidR="00B36080" w:rsidRPr="00B36080" w:rsidRDefault="00B36080" w:rsidP="00B36080">
            <w:pPr>
              <w:pStyle w:val="TableParagraph"/>
              <w:rPr>
                <w:color w:val="231F20"/>
                <w:spacing w:val="-2"/>
              </w:rPr>
            </w:pPr>
          </w:p>
          <w:p w14:paraId="4F1E41B3" w14:textId="20AD80E6" w:rsidR="00B36080" w:rsidRPr="00B36080" w:rsidRDefault="003D6959" w:rsidP="00B36080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Learners</w:t>
            </w:r>
            <w:r w:rsidR="00B36080" w:rsidRPr="00B36080">
              <w:rPr>
                <w:color w:val="231F20"/>
                <w:spacing w:val="-2"/>
              </w:rPr>
              <w:t xml:space="preserve"> design and develop a series of increasingly complex programs to solve given scenarios. They document their programs with comments and follow programming ‘best practice’ which may be specific to their chosen programming language.</w:t>
            </w:r>
          </w:p>
          <w:p w14:paraId="56CB6211" w14:textId="77777777" w:rsidR="00B36080" w:rsidRPr="00B36080" w:rsidRDefault="00B36080" w:rsidP="00B36080">
            <w:pPr>
              <w:pStyle w:val="TableParagraph"/>
              <w:rPr>
                <w:color w:val="231F20"/>
                <w:spacing w:val="-2"/>
              </w:rPr>
            </w:pPr>
          </w:p>
          <w:p w14:paraId="26740CDD" w14:textId="6D869626" w:rsidR="00B36080" w:rsidRPr="00B36080" w:rsidRDefault="00570BB2" w:rsidP="00B80D09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Learners</w:t>
            </w:r>
            <w:r w:rsidR="00B36080" w:rsidRPr="00B36080">
              <w:rPr>
                <w:color w:val="231F20"/>
                <w:spacing w:val="-2"/>
              </w:rPr>
              <w:t xml:space="preserve"> follow an organised testing process and document that they have tested their program works on a range of inputs and conditions relevant to their program.</w:t>
            </w:r>
          </w:p>
          <w:p w14:paraId="7E810077" w14:textId="77777777" w:rsidR="002E72C1" w:rsidRDefault="002E72C1" w:rsidP="00B34D9D">
            <w:pPr>
              <w:pStyle w:val="TableParagraph"/>
            </w:pPr>
          </w:p>
          <w:p w14:paraId="542C7222" w14:textId="5538C8ED" w:rsidR="00DF63D6" w:rsidRDefault="00681C04" w:rsidP="00681C04">
            <w:pPr>
              <w:pStyle w:val="Subtitle"/>
            </w:pPr>
            <w:r w:rsidRPr="00681C04">
              <w:t>Learning covered supports development of skills and knowledge toward AS 92004 (1.1) Create a computer program</w:t>
            </w:r>
            <w:r>
              <w:t>.</w:t>
            </w:r>
          </w:p>
        </w:tc>
      </w:tr>
      <w:tr w:rsidR="004032FB" w14:paraId="1E020A60" w14:textId="77777777" w:rsidTr="748F52C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4579AA03" w14:textId="77777777" w:rsidR="004032FB" w:rsidRDefault="004032FB" w:rsidP="004032FB">
            <w:pPr>
              <w:pStyle w:val="TableParagraph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378A6DC3" w14:textId="0A0A4E56" w:rsidR="004032FB" w:rsidRDefault="00F44759" w:rsidP="004032FB">
            <w:pPr>
              <w:pStyle w:val="Heading5"/>
              <w:rPr>
                <w:b w:val="0"/>
              </w:rPr>
            </w:pPr>
            <w:r w:rsidRPr="00F44759">
              <w:t>Usability principles and mātāpono Māori revisit</w:t>
            </w:r>
          </w:p>
          <w:p w14:paraId="677C136C" w14:textId="4828A283" w:rsidR="004032FB" w:rsidRPr="004032FB" w:rsidRDefault="004032FB" w:rsidP="0072141B">
            <w:pPr>
              <w:pStyle w:val="Heading6"/>
              <w:spacing w:after="120"/>
              <w:rPr>
                <w:b w:val="0"/>
                <w:bCs/>
              </w:rPr>
            </w:pPr>
            <w:r w:rsidRPr="000D5253">
              <w:rPr>
                <w:b w:val="0"/>
                <w:bCs/>
              </w:rPr>
              <w:t xml:space="preserve">Duration </w:t>
            </w:r>
            <w:r w:rsidR="00861455"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F44759">
              <w:rPr>
                <w:b w:val="0"/>
                <w:bCs/>
              </w:rPr>
              <w:t>3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B86C11" w14:paraId="70A16EF0" w14:textId="77777777" w:rsidTr="748F52C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2773E2BE" w14:textId="03EE4823" w:rsidR="00696C05" w:rsidRDefault="00696C05" w:rsidP="00696C05">
            <w:pPr>
              <w:pStyle w:val="Bullet"/>
            </w:pPr>
            <w:r>
              <w:t>Prioritise user experience in design — practise manaakitanga by applying relevant design principles, mātāpono Māori, and usability principles</w:t>
            </w:r>
          </w:p>
          <w:p w14:paraId="411C2CFE" w14:textId="32A785CB" w:rsidR="00696C05" w:rsidRDefault="00696C05" w:rsidP="00696C05">
            <w:pPr>
              <w:pStyle w:val="Bullet"/>
            </w:pPr>
            <w:r>
              <w:t>Understand that digital technologies and the concepts that underpin them are influenced by the people that create them and the contexts in which they are developed</w:t>
            </w:r>
          </w:p>
          <w:p w14:paraId="56151ACA" w14:textId="70F6E044" w:rsidR="00696C05" w:rsidRDefault="00696C05" w:rsidP="00696C05">
            <w:pPr>
              <w:pStyle w:val="Bullet"/>
            </w:pPr>
            <w:r>
              <w:t>Understand that digital technologies and the concepts that underpin them impact on people, societies, and cultures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116E34EC" w14:textId="6763A2C8" w:rsidR="00380EDD" w:rsidRPr="00380EDD" w:rsidRDefault="00380EDD" w:rsidP="00380EDD">
            <w:pPr>
              <w:pStyle w:val="Bullet"/>
            </w:pPr>
            <w:r w:rsidRPr="00380EDD">
              <w:t>Return to learning and experience from across the year in the application of usability heuristics/mātāpono Māori in preparation for the external assessment task.</w:t>
            </w:r>
          </w:p>
          <w:p w14:paraId="782F50F0" w14:textId="350C029E" w:rsidR="00380EDD" w:rsidRPr="00B80D09" w:rsidRDefault="00380EDD" w:rsidP="00B80D09">
            <w:pPr>
              <w:pStyle w:val="Bullet"/>
            </w:pPr>
            <w:r w:rsidRPr="00380EDD">
              <w:t>Generate screenshots (as allowed) of an interface they have reviewed to take into assessment.</w:t>
            </w:r>
          </w:p>
          <w:p w14:paraId="4FADAFA9" w14:textId="77777777" w:rsidR="002E72C1" w:rsidRDefault="002E72C1" w:rsidP="00B34D9D">
            <w:pPr>
              <w:pStyle w:val="TableParagraph"/>
            </w:pPr>
          </w:p>
          <w:p w14:paraId="02B18E01" w14:textId="7EC7BD14" w:rsidR="00B86C11" w:rsidRDefault="00380EDD" w:rsidP="00380EDD">
            <w:pPr>
              <w:pStyle w:val="Subtitle"/>
            </w:pPr>
            <w:r w:rsidRPr="00380EDD">
              <w:t>Learning covered supports development of skills and knowledge towards AS 92006 (1.3) Demonstrate understanding of usability in human-computer interfaces.</w:t>
            </w:r>
            <w:r w:rsidR="0078280A">
              <w:t xml:space="preserve"> </w:t>
            </w:r>
          </w:p>
        </w:tc>
      </w:tr>
    </w:tbl>
    <w:p w14:paraId="3FAB5313" w14:textId="77777777" w:rsidR="008E1D41" w:rsidRDefault="008E1D41" w:rsidP="002B5548">
      <w:pPr>
        <w:pStyle w:val="Bullet"/>
        <w:numPr>
          <w:ilvl w:val="0"/>
          <w:numId w:val="0"/>
        </w:numPr>
      </w:pPr>
    </w:p>
    <w:sectPr w:rsidR="008E1D41" w:rsidSect="008B23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20" w:h="16840" w:orient="landscape"/>
      <w:pgMar w:top="567" w:right="964" w:bottom="1361" w:left="96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AC70" w14:textId="77777777" w:rsidR="00C67C1E" w:rsidRDefault="00C67C1E">
      <w:r>
        <w:separator/>
      </w:r>
    </w:p>
  </w:endnote>
  <w:endnote w:type="continuationSeparator" w:id="0">
    <w:p w14:paraId="26ED69CF" w14:textId="77777777" w:rsidR="00C67C1E" w:rsidRDefault="00C67C1E">
      <w:r>
        <w:continuationSeparator/>
      </w:r>
    </w:p>
  </w:endnote>
  <w:endnote w:type="continuationNotice" w:id="1">
    <w:p w14:paraId="2994D5DC" w14:textId="77777777" w:rsidR="00C67C1E" w:rsidRDefault="00C67C1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E2B0" w14:textId="38ACE376" w:rsidR="006E4D4E" w:rsidRDefault="00DD3C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B9EFD4F" wp14:editId="63B6D8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987994368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1B67D" w14:textId="2CB29BB9" w:rsidR="00DD3C2C" w:rsidRPr="00DD3C2C" w:rsidRDefault="00DD3C2C" w:rsidP="00DD3C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EFD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UNCLASSIFIED]" style="position:absolute;margin-left:0;margin-top:0;width:64.2pt;height:33.2pt;z-index:2516684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BKTvFf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B1B67D" w14:textId="2CB29BB9" w:rsidR="00DD3C2C" w:rsidRPr="00DD3C2C" w:rsidRDefault="00DD3C2C" w:rsidP="00DD3C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2835"/>
      <w:gridCol w:w="14889"/>
      <w:gridCol w:w="2835"/>
    </w:tblGrid>
    <w:tr w:rsidR="006D286F" w14:paraId="1632C63A" w14:textId="77777777" w:rsidTr="006D286F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D5E95AD" w14:textId="5D30064E" w:rsidR="006D286F" w:rsidRDefault="006D286F" w:rsidP="006D286F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34EB53E5" wp14:editId="166ED447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17" name="Pictu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31F12AD4" wp14:editId="0C04DBFD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18" name="Pictu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30A1129F" w14:textId="77777777" w:rsidR="006D286F" w:rsidRDefault="006D286F" w:rsidP="006D286F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1782BA3" wp14:editId="6A2EE4ED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889" w:type="dxa"/>
          <w:vAlign w:val="center"/>
        </w:tcPr>
        <w:p w14:paraId="2E543282" w14:textId="77777777" w:rsidR="006D286F" w:rsidRPr="00F4030D" w:rsidRDefault="006D286F" w:rsidP="006D286F">
          <w:pPr>
            <w:pStyle w:val="Footer"/>
            <w:spacing w:before="0"/>
            <w:jc w:val="center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Pr="00F4030D">
            <w:rPr>
              <w:sz w:val="18"/>
              <w:szCs w:val="18"/>
            </w:rPr>
            <w:fldChar w:fldCharType="begin"/>
          </w:r>
          <w:r w:rsidRPr="00F4030D">
            <w:rPr>
              <w:sz w:val="18"/>
              <w:szCs w:val="18"/>
            </w:rPr>
            <w:instrText xml:space="preserve"> PAGE   \* MERGEFORMAT </w:instrText>
          </w:r>
          <w:r w:rsidRPr="00F4030D">
            <w:rPr>
              <w:sz w:val="18"/>
              <w:szCs w:val="18"/>
            </w:rPr>
            <w:fldChar w:fldCharType="separate"/>
          </w:r>
          <w:r w:rsidRPr="00F4030D">
            <w:rPr>
              <w:noProof/>
              <w:sz w:val="18"/>
              <w:szCs w:val="18"/>
            </w:rPr>
            <w:t>1</w:t>
          </w:r>
          <w:r w:rsidRPr="00F4030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2835" w:type="dxa"/>
          <w:vAlign w:val="center"/>
        </w:tcPr>
        <w:p w14:paraId="6F226969" w14:textId="77777777" w:rsidR="006D286F" w:rsidRPr="00F4030D" w:rsidRDefault="006D286F" w:rsidP="006D286F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DA0847">
            <w:rPr>
              <w:noProof/>
              <w:sz w:val="16"/>
              <w:szCs w:val="16"/>
            </w:rPr>
            <w:drawing>
              <wp:anchor distT="0" distB="0" distL="0" distR="0" simplePos="0" relativeHeight="251658243" behindDoc="1" locked="0" layoutInCell="1" allowOverlap="1" wp14:anchorId="24115AB3" wp14:editId="11120C1A">
                <wp:simplePos x="0" y="0"/>
                <wp:positionH relativeFrom="page">
                  <wp:posOffset>263525</wp:posOffset>
                </wp:positionH>
                <wp:positionV relativeFrom="page">
                  <wp:posOffset>5715</wp:posOffset>
                </wp:positionV>
                <wp:extent cx="1475740" cy="336550"/>
                <wp:effectExtent l="0" t="0" r="0" b="0"/>
                <wp:wrapNone/>
                <wp:docPr id="20" name="Pictu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74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0E44B6" w14:textId="4E325E75" w:rsidR="00AB3DCB" w:rsidRPr="006D286F" w:rsidRDefault="00AB3DCB" w:rsidP="006D2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1EA7" w14:textId="2C783C2E" w:rsidR="006E4D4E" w:rsidRDefault="00DD3C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BA97798" wp14:editId="2CC09F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204482672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C83E" w14:textId="6086D50D" w:rsidR="00DD3C2C" w:rsidRPr="00DD3C2C" w:rsidRDefault="00DD3C2C" w:rsidP="00DD3C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977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[UNCLASSIFIED]" style="position:absolute;margin-left:0;margin-top:0;width:64.2pt;height:33.2pt;z-index:2516674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An8UNi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D8C83E" w14:textId="6086D50D" w:rsidR="00DD3C2C" w:rsidRPr="00DD3C2C" w:rsidRDefault="00DD3C2C" w:rsidP="00DD3C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5335" w14:textId="77777777" w:rsidR="00C67C1E" w:rsidRDefault="00C67C1E">
      <w:r>
        <w:separator/>
      </w:r>
    </w:p>
  </w:footnote>
  <w:footnote w:type="continuationSeparator" w:id="0">
    <w:p w14:paraId="3275AE76" w14:textId="77777777" w:rsidR="00C67C1E" w:rsidRDefault="00C67C1E">
      <w:r>
        <w:continuationSeparator/>
      </w:r>
    </w:p>
  </w:footnote>
  <w:footnote w:type="continuationNotice" w:id="1">
    <w:p w14:paraId="4AD2EAE6" w14:textId="77777777" w:rsidR="00C67C1E" w:rsidRDefault="00C67C1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15E6" w14:textId="275B979A" w:rsidR="006E4D4E" w:rsidRDefault="00DD3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FD3AD95" wp14:editId="060176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37043011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87174" w14:textId="06A555DF" w:rsidR="00DD3C2C" w:rsidRPr="00DD3C2C" w:rsidRDefault="00DD3C2C" w:rsidP="00DD3C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3AD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[UNCLASSIFIED]" style="position:absolute;margin-left:0;margin-top:0;width:64.2pt;height:33.2pt;z-index:2516654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amCAIAABU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6B787174" w14:textId="06A555DF" w:rsidR="00DD3C2C" w:rsidRPr="00DD3C2C" w:rsidRDefault="00DD3C2C" w:rsidP="00DD3C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9876" w14:textId="00BD80B7" w:rsidR="00342B25" w:rsidRDefault="00342B25" w:rsidP="00342B25">
    <w:pPr>
      <w:spacing w:before="16"/>
      <w:ind w:left="20"/>
      <w:jc w:val="right"/>
      <w:rPr>
        <w:rFonts w:ascii="Verdana"/>
        <w:color w:val="231F20"/>
        <w:spacing w:val="-2"/>
        <w:sz w:val="18"/>
      </w:rPr>
    </w:pPr>
    <w:r>
      <w:rPr>
        <w:rFonts w:ascii="Verdana"/>
        <w:color w:val="231F20"/>
        <w:sz w:val="18"/>
      </w:rPr>
      <w:t>GUIDE</w:t>
    </w:r>
    <w:r>
      <w:rPr>
        <w:rFonts w:ascii="Verdana"/>
        <w:color w:val="231F20"/>
        <w:spacing w:val="-4"/>
        <w:sz w:val="18"/>
      </w:rPr>
      <w:t xml:space="preserve"> </w:t>
    </w:r>
    <w:r>
      <w:rPr>
        <w:rFonts w:ascii="Verdana"/>
        <w:color w:val="231F20"/>
        <w:sz w:val="18"/>
      </w:rPr>
      <w:t>TO</w:t>
    </w:r>
    <w:r>
      <w:rPr>
        <w:rFonts w:ascii="Verdana"/>
        <w:color w:val="231F20"/>
        <w:spacing w:val="-4"/>
        <w:sz w:val="18"/>
      </w:rPr>
      <w:t xml:space="preserve"> </w:t>
    </w:r>
    <w:r>
      <w:rPr>
        <w:rFonts w:ascii="Verdana"/>
        <w:color w:val="231F20"/>
        <w:sz w:val="18"/>
      </w:rPr>
      <w:t>AID</w:t>
    </w:r>
    <w:r>
      <w:rPr>
        <w:rFonts w:ascii="Verdana"/>
        <w:color w:val="231F20"/>
        <w:spacing w:val="-3"/>
        <w:sz w:val="18"/>
      </w:rPr>
      <w:t xml:space="preserve"> </w:t>
    </w:r>
    <w:r>
      <w:rPr>
        <w:rFonts w:ascii="Verdana"/>
        <w:color w:val="231F20"/>
        <w:sz w:val="18"/>
      </w:rPr>
      <w:t>TEACHER</w:t>
    </w:r>
    <w:r>
      <w:rPr>
        <w:rFonts w:ascii="Verdana"/>
        <w:color w:val="231F20"/>
        <w:spacing w:val="-4"/>
        <w:sz w:val="18"/>
      </w:rPr>
      <w:t xml:space="preserve"> </w:t>
    </w:r>
    <w:r>
      <w:rPr>
        <w:rFonts w:ascii="Verdana"/>
        <w:color w:val="231F20"/>
        <w:spacing w:val="-2"/>
        <w:sz w:val="18"/>
      </w:rPr>
      <w:t>PLANNING</w:t>
    </w:r>
  </w:p>
  <w:p w14:paraId="3A8CDE67" w14:textId="0984DF23" w:rsidR="00E85F10" w:rsidRDefault="00E85F10" w:rsidP="00342B25">
    <w:pPr>
      <w:spacing w:before="16"/>
      <w:ind w:left="20"/>
      <w:jc w:val="right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 xml:space="preserve">Version </w:t>
    </w:r>
    <w:r w:rsidR="000A12FA">
      <w:rPr>
        <w:rFonts w:ascii="Verdana"/>
        <w:color w:val="231F20"/>
        <w:spacing w:val="-2"/>
        <w:sz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0724" w14:textId="4B64E127" w:rsidR="006E4D4E" w:rsidRDefault="00DD3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1E7D04" wp14:editId="62B899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94124242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B8914" w14:textId="74E66C6D" w:rsidR="00DD3C2C" w:rsidRPr="00DD3C2C" w:rsidRDefault="00DD3C2C" w:rsidP="00DD3C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3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E7D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[UNCLASSIFIED]" style="position:absolute;margin-left:0;margin-top:0;width:64.2pt;height:33.2pt;z-index:2516643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79B8914" w14:textId="74E66C6D" w:rsidR="00DD3C2C" w:rsidRPr="00DD3C2C" w:rsidRDefault="00DD3C2C" w:rsidP="00DD3C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3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4670"/>
    <w:multiLevelType w:val="hybridMultilevel"/>
    <w:tmpl w:val="E86E70E0"/>
    <w:lvl w:ilvl="0" w:tplc="9A8C713A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843922" w:themeColor="accent5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CCC39BA"/>
    <w:multiLevelType w:val="hybridMultilevel"/>
    <w:tmpl w:val="125A4B9C"/>
    <w:lvl w:ilvl="0" w:tplc="96666354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843922" w:themeColor="accent5"/>
        <w:sz w:val="22"/>
      </w:rPr>
    </w:lvl>
    <w:lvl w:ilvl="1" w:tplc="D9DEA970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843922" w:themeColor="accent5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751F"/>
    <w:multiLevelType w:val="hybridMultilevel"/>
    <w:tmpl w:val="DCCC3A2A"/>
    <w:lvl w:ilvl="0" w:tplc="DA06B670">
      <w:start w:val="1"/>
      <w:numFmt w:val="bullet"/>
      <w:pStyle w:val="BulletLevel2"/>
      <w:lvlText w:val="○"/>
      <w:lvlJc w:val="left"/>
      <w:pPr>
        <w:ind w:left="1097" w:hanging="360"/>
      </w:pPr>
      <w:rPr>
        <w:rFonts w:ascii="Arial" w:hAnsi="Arial" w:hint="default"/>
        <w:color w:val="A1561C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60991121">
    <w:abstractNumId w:val="1"/>
  </w:num>
  <w:num w:numId="2" w16cid:durableId="494228640">
    <w:abstractNumId w:val="2"/>
  </w:num>
  <w:num w:numId="3" w16cid:durableId="69200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31DF"/>
    <w:rsid w:val="00010DB1"/>
    <w:rsid w:val="000110F9"/>
    <w:rsid w:val="000168C8"/>
    <w:rsid w:val="00022E5F"/>
    <w:rsid w:val="00033B5A"/>
    <w:rsid w:val="000350AC"/>
    <w:rsid w:val="00040F1E"/>
    <w:rsid w:val="00042DDD"/>
    <w:rsid w:val="00050727"/>
    <w:rsid w:val="00053BA0"/>
    <w:rsid w:val="000707AE"/>
    <w:rsid w:val="00073376"/>
    <w:rsid w:val="00086F0B"/>
    <w:rsid w:val="00091C24"/>
    <w:rsid w:val="000A12FA"/>
    <w:rsid w:val="000A13FA"/>
    <w:rsid w:val="000A2B90"/>
    <w:rsid w:val="000B70D0"/>
    <w:rsid w:val="000B7A7C"/>
    <w:rsid w:val="000C1544"/>
    <w:rsid w:val="000D5253"/>
    <w:rsid w:val="000E10AC"/>
    <w:rsid w:val="000E68C3"/>
    <w:rsid w:val="000F583C"/>
    <w:rsid w:val="001029C2"/>
    <w:rsid w:val="00111666"/>
    <w:rsid w:val="00133672"/>
    <w:rsid w:val="00140800"/>
    <w:rsid w:val="00143E8B"/>
    <w:rsid w:val="00155234"/>
    <w:rsid w:val="0016253A"/>
    <w:rsid w:val="00163E92"/>
    <w:rsid w:val="00170F4F"/>
    <w:rsid w:val="00171F68"/>
    <w:rsid w:val="00174194"/>
    <w:rsid w:val="00181391"/>
    <w:rsid w:val="001A77E3"/>
    <w:rsid w:val="001B0960"/>
    <w:rsid w:val="001B3E03"/>
    <w:rsid w:val="001C1AD1"/>
    <w:rsid w:val="001C3473"/>
    <w:rsid w:val="001C3FCE"/>
    <w:rsid w:val="001E0DAD"/>
    <w:rsid w:val="001F206F"/>
    <w:rsid w:val="0020138B"/>
    <w:rsid w:val="00211377"/>
    <w:rsid w:val="00211BCC"/>
    <w:rsid w:val="002208D1"/>
    <w:rsid w:val="00227A76"/>
    <w:rsid w:val="002313CA"/>
    <w:rsid w:val="002318D3"/>
    <w:rsid w:val="00232591"/>
    <w:rsid w:val="00260D4C"/>
    <w:rsid w:val="0026118C"/>
    <w:rsid w:val="0027307A"/>
    <w:rsid w:val="00275243"/>
    <w:rsid w:val="0027575C"/>
    <w:rsid w:val="002818DB"/>
    <w:rsid w:val="00291D6E"/>
    <w:rsid w:val="00292EBD"/>
    <w:rsid w:val="002933AA"/>
    <w:rsid w:val="002B5548"/>
    <w:rsid w:val="002C66A9"/>
    <w:rsid w:val="002C78D9"/>
    <w:rsid w:val="002D308A"/>
    <w:rsid w:val="002E106B"/>
    <w:rsid w:val="002E3727"/>
    <w:rsid w:val="002E72C1"/>
    <w:rsid w:val="002F1D99"/>
    <w:rsid w:val="002F7E1E"/>
    <w:rsid w:val="00300C89"/>
    <w:rsid w:val="00322C3A"/>
    <w:rsid w:val="00327186"/>
    <w:rsid w:val="00337DDD"/>
    <w:rsid w:val="003404EB"/>
    <w:rsid w:val="00342B25"/>
    <w:rsid w:val="00351DAF"/>
    <w:rsid w:val="00363C8A"/>
    <w:rsid w:val="00364E25"/>
    <w:rsid w:val="00380EDD"/>
    <w:rsid w:val="0039002C"/>
    <w:rsid w:val="00392079"/>
    <w:rsid w:val="003A0928"/>
    <w:rsid w:val="003C09E5"/>
    <w:rsid w:val="003C392F"/>
    <w:rsid w:val="003C5595"/>
    <w:rsid w:val="003D6959"/>
    <w:rsid w:val="003E3A53"/>
    <w:rsid w:val="003F19C2"/>
    <w:rsid w:val="003F2350"/>
    <w:rsid w:val="003F3FDE"/>
    <w:rsid w:val="003F64DA"/>
    <w:rsid w:val="004032FB"/>
    <w:rsid w:val="00403974"/>
    <w:rsid w:val="0041056F"/>
    <w:rsid w:val="004110B5"/>
    <w:rsid w:val="00422640"/>
    <w:rsid w:val="00423731"/>
    <w:rsid w:val="004313FC"/>
    <w:rsid w:val="00442048"/>
    <w:rsid w:val="00451353"/>
    <w:rsid w:val="00453D31"/>
    <w:rsid w:val="00462697"/>
    <w:rsid w:val="00467707"/>
    <w:rsid w:val="00473E9E"/>
    <w:rsid w:val="0049633F"/>
    <w:rsid w:val="004A509D"/>
    <w:rsid w:val="004A6697"/>
    <w:rsid w:val="004B0ACE"/>
    <w:rsid w:val="004B1B3F"/>
    <w:rsid w:val="004B26C1"/>
    <w:rsid w:val="004C68E3"/>
    <w:rsid w:val="004E6BC3"/>
    <w:rsid w:val="004F4285"/>
    <w:rsid w:val="004F5571"/>
    <w:rsid w:val="004F58C3"/>
    <w:rsid w:val="00502D85"/>
    <w:rsid w:val="0051217C"/>
    <w:rsid w:val="00512475"/>
    <w:rsid w:val="00522C2B"/>
    <w:rsid w:val="00527749"/>
    <w:rsid w:val="00530E30"/>
    <w:rsid w:val="00535357"/>
    <w:rsid w:val="0056163B"/>
    <w:rsid w:val="00566E53"/>
    <w:rsid w:val="005678C3"/>
    <w:rsid w:val="00570BB2"/>
    <w:rsid w:val="00580413"/>
    <w:rsid w:val="00587B3D"/>
    <w:rsid w:val="00593CE2"/>
    <w:rsid w:val="005944B8"/>
    <w:rsid w:val="00596776"/>
    <w:rsid w:val="005B173E"/>
    <w:rsid w:val="005B5733"/>
    <w:rsid w:val="005C11D4"/>
    <w:rsid w:val="005C5E76"/>
    <w:rsid w:val="005F2ABB"/>
    <w:rsid w:val="006041BF"/>
    <w:rsid w:val="00607452"/>
    <w:rsid w:val="0061645F"/>
    <w:rsid w:val="006172F4"/>
    <w:rsid w:val="00625C07"/>
    <w:rsid w:val="0063149B"/>
    <w:rsid w:val="00631D6A"/>
    <w:rsid w:val="0063204F"/>
    <w:rsid w:val="006347CC"/>
    <w:rsid w:val="00645367"/>
    <w:rsid w:val="006524CC"/>
    <w:rsid w:val="006606B4"/>
    <w:rsid w:val="00661857"/>
    <w:rsid w:val="0066239F"/>
    <w:rsid w:val="00663743"/>
    <w:rsid w:val="00663F6A"/>
    <w:rsid w:val="00664AB5"/>
    <w:rsid w:val="00667959"/>
    <w:rsid w:val="00671ADE"/>
    <w:rsid w:val="00681C04"/>
    <w:rsid w:val="00686E0F"/>
    <w:rsid w:val="00696C05"/>
    <w:rsid w:val="006B45BA"/>
    <w:rsid w:val="006C712C"/>
    <w:rsid w:val="006D286F"/>
    <w:rsid w:val="006E09B2"/>
    <w:rsid w:val="006E0E34"/>
    <w:rsid w:val="006E4D4E"/>
    <w:rsid w:val="006F0C67"/>
    <w:rsid w:val="006F48FC"/>
    <w:rsid w:val="0070053C"/>
    <w:rsid w:val="00702D0E"/>
    <w:rsid w:val="007036C7"/>
    <w:rsid w:val="0072141B"/>
    <w:rsid w:val="00757974"/>
    <w:rsid w:val="00766A91"/>
    <w:rsid w:val="00772D88"/>
    <w:rsid w:val="00780FCF"/>
    <w:rsid w:val="0078280A"/>
    <w:rsid w:val="00784A37"/>
    <w:rsid w:val="007930FE"/>
    <w:rsid w:val="007A6130"/>
    <w:rsid w:val="007B3B4F"/>
    <w:rsid w:val="007C6B86"/>
    <w:rsid w:val="007D482B"/>
    <w:rsid w:val="00813F66"/>
    <w:rsid w:val="00817231"/>
    <w:rsid w:val="008433B7"/>
    <w:rsid w:val="00856D51"/>
    <w:rsid w:val="00861455"/>
    <w:rsid w:val="00872950"/>
    <w:rsid w:val="008736BB"/>
    <w:rsid w:val="00875E2F"/>
    <w:rsid w:val="0087612F"/>
    <w:rsid w:val="00877009"/>
    <w:rsid w:val="00886228"/>
    <w:rsid w:val="00896A5D"/>
    <w:rsid w:val="00897A95"/>
    <w:rsid w:val="008A5554"/>
    <w:rsid w:val="008B21EC"/>
    <w:rsid w:val="008B23C6"/>
    <w:rsid w:val="008C4C8A"/>
    <w:rsid w:val="008D3B8B"/>
    <w:rsid w:val="008E1D41"/>
    <w:rsid w:val="008E6787"/>
    <w:rsid w:val="008F31F0"/>
    <w:rsid w:val="008F7C64"/>
    <w:rsid w:val="00917BC8"/>
    <w:rsid w:val="009220F9"/>
    <w:rsid w:val="0092551F"/>
    <w:rsid w:val="00926E2E"/>
    <w:rsid w:val="00937042"/>
    <w:rsid w:val="00944E74"/>
    <w:rsid w:val="00947826"/>
    <w:rsid w:val="009524A2"/>
    <w:rsid w:val="00952F1E"/>
    <w:rsid w:val="009562E2"/>
    <w:rsid w:val="009613E6"/>
    <w:rsid w:val="00973AA2"/>
    <w:rsid w:val="00977F25"/>
    <w:rsid w:val="009863FC"/>
    <w:rsid w:val="00986F22"/>
    <w:rsid w:val="009919E7"/>
    <w:rsid w:val="009B00CF"/>
    <w:rsid w:val="009B0F98"/>
    <w:rsid w:val="009B675E"/>
    <w:rsid w:val="009C103A"/>
    <w:rsid w:val="009D0C50"/>
    <w:rsid w:val="009D5E81"/>
    <w:rsid w:val="009F2A2C"/>
    <w:rsid w:val="00A06D48"/>
    <w:rsid w:val="00A21728"/>
    <w:rsid w:val="00A32034"/>
    <w:rsid w:val="00A356A4"/>
    <w:rsid w:val="00A44944"/>
    <w:rsid w:val="00A451D8"/>
    <w:rsid w:val="00A570EE"/>
    <w:rsid w:val="00A702A2"/>
    <w:rsid w:val="00A720C3"/>
    <w:rsid w:val="00AA14F0"/>
    <w:rsid w:val="00AB3DCB"/>
    <w:rsid w:val="00AB46FB"/>
    <w:rsid w:val="00AC7D83"/>
    <w:rsid w:val="00AD0702"/>
    <w:rsid w:val="00AD1A43"/>
    <w:rsid w:val="00AD214A"/>
    <w:rsid w:val="00AD2365"/>
    <w:rsid w:val="00AD3DFF"/>
    <w:rsid w:val="00AE07F9"/>
    <w:rsid w:val="00AE765A"/>
    <w:rsid w:val="00AE7D40"/>
    <w:rsid w:val="00AF48A8"/>
    <w:rsid w:val="00B13BCA"/>
    <w:rsid w:val="00B152E1"/>
    <w:rsid w:val="00B34D9D"/>
    <w:rsid w:val="00B36080"/>
    <w:rsid w:val="00B551C3"/>
    <w:rsid w:val="00B57593"/>
    <w:rsid w:val="00B80D09"/>
    <w:rsid w:val="00B86C11"/>
    <w:rsid w:val="00B86E34"/>
    <w:rsid w:val="00BA5F87"/>
    <w:rsid w:val="00BA678A"/>
    <w:rsid w:val="00BD16B7"/>
    <w:rsid w:val="00BE5B8C"/>
    <w:rsid w:val="00C30170"/>
    <w:rsid w:val="00C40D62"/>
    <w:rsid w:val="00C67C1E"/>
    <w:rsid w:val="00C7511A"/>
    <w:rsid w:val="00C76464"/>
    <w:rsid w:val="00C81028"/>
    <w:rsid w:val="00C90CE7"/>
    <w:rsid w:val="00C91E0C"/>
    <w:rsid w:val="00CA64C2"/>
    <w:rsid w:val="00CB0FAE"/>
    <w:rsid w:val="00CD4E3B"/>
    <w:rsid w:val="00CE7B4A"/>
    <w:rsid w:val="00D02D9E"/>
    <w:rsid w:val="00D104C9"/>
    <w:rsid w:val="00D24F8E"/>
    <w:rsid w:val="00D304CE"/>
    <w:rsid w:val="00D30DEA"/>
    <w:rsid w:val="00D5377B"/>
    <w:rsid w:val="00D54CD1"/>
    <w:rsid w:val="00D67754"/>
    <w:rsid w:val="00D67B32"/>
    <w:rsid w:val="00D70C23"/>
    <w:rsid w:val="00D860EA"/>
    <w:rsid w:val="00D919C2"/>
    <w:rsid w:val="00D936C4"/>
    <w:rsid w:val="00DA0847"/>
    <w:rsid w:val="00DA30ED"/>
    <w:rsid w:val="00DD3C2C"/>
    <w:rsid w:val="00DE0496"/>
    <w:rsid w:val="00DE0553"/>
    <w:rsid w:val="00DE754B"/>
    <w:rsid w:val="00DF63D6"/>
    <w:rsid w:val="00E01B44"/>
    <w:rsid w:val="00E04C41"/>
    <w:rsid w:val="00E05A48"/>
    <w:rsid w:val="00E13F67"/>
    <w:rsid w:val="00E17316"/>
    <w:rsid w:val="00E20E11"/>
    <w:rsid w:val="00E22FF2"/>
    <w:rsid w:val="00E23F28"/>
    <w:rsid w:val="00E25638"/>
    <w:rsid w:val="00E37205"/>
    <w:rsid w:val="00E53F5D"/>
    <w:rsid w:val="00E64269"/>
    <w:rsid w:val="00E67B3E"/>
    <w:rsid w:val="00E7009E"/>
    <w:rsid w:val="00E70AF1"/>
    <w:rsid w:val="00E71AB7"/>
    <w:rsid w:val="00E72C40"/>
    <w:rsid w:val="00E806DC"/>
    <w:rsid w:val="00E80AD8"/>
    <w:rsid w:val="00E847CA"/>
    <w:rsid w:val="00E85895"/>
    <w:rsid w:val="00E85F10"/>
    <w:rsid w:val="00E87447"/>
    <w:rsid w:val="00EA6C86"/>
    <w:rsid w:val="00EB40AD"/>
    <w:rsid w:val="00EC40B9"/>
    <w:rsid w:val="00EC643D"/>
    <w:rsid w:val="00ED098C"/>
    <w:rsid w:val="00ED1813"/>
    <w:rsid w:val="00EE0639"/>
    <w:rsid w:val="00EE1857"/>
    <w:rsid w:val="00EE4B1C"/>
    <w:rsid w:val="00F03531"/>
    <w:rsid w:val="00F141D2"/>
    <w:rsid w:val="00F36195"/>
    <w:rsid w:val="00F40477"/>
    <w:rsid w:val="00F44759"/>
    <w:rsid w:val="00F47894"/>
    <w:rsid w:val="00F80133"/>
    <w:rsid w:val="00F85183"/>
    <w:rsid w:val="00F86DC1"/>
    <w:rsid w:val="00F93D81"/>
    <w:rsid w:val="00FA0595"/>
    <w:rsid w:val="00FF2820"/>
    <w:rsid w:val="00FF4DDE"/>
    <w:rsid w:val="04D61710"/>
    <w:rsid w:val="0B8C6763"/>
    <w:rsid w:val="19E824EC"/>
    <w:rsid w:val="1D341B4A"/>
    <w:rsid w:val="1FCB4A3F"/>
    <w:rsid w:val="3E1D1FE8"/>
    <w:rsid w:val="47FC4415"/>
    <w:rsid w:val="5590837D"/>
    <w:rsid w:val="58FD0001"/>
    <w:rsid w:val="6805FEC5"/>
    <w:rsid w:val="748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1217C"/>
    <w:pPr>
      <w:spacing w:before="87"/>
      <w:ind w:left="102"/>
      <w:outlineLvl w:val="0"/>
    </w:pPr>
    <w:rPr>
      <w:b/>
      <w:bCs/>
      <w:color w:val="843922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17C"/>
    <w:pPr>
      <w:keepNext/>
      <w:keepLines/>
      <w:spacing w:before="140"/>
      <w:outlineLvl w:val="1"/>
    </w:pPr>
    <w:rPr>
      <w:rFonts w:eastAsiaTheme="majorEastAsia" w:cstheme="majorBidi"/>
      <w:color w:val="843922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17C"/>
    <w:pPr>
      <w:keepNext/>
      <w:keepLines/>
      <w:spacing w:before="40"/>
      <w:outlineLvl w:val="2"/>
    </w:pPr>
    <w:rPr>
      <w:rFonts w:eastAsiaTheme="majorEastAsia" w:cstheme="majorBidi"/>
      <w:b/>
      <w:color w:val="843922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17C"/>
    <w:pPr>
      <w:keepNext/>
      <w:keepLines/>
      <w:spacing w:line="276" w:lineRule="auto"/>
      <w:outlineLvl w:val="3"/>
    </w:pPr>
    <w:rPr>
      <w:rFonts w:eastAsiaTheme="majorEastAsia" w:cstheme="majorBidi"/>
      <w:iCs/>
      <w:color w:val="843922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7707"/>
    <w:pPr>
      <w:ind w:left="181" w:right="170"/>
      <w:outlineLvl w:val="4"/>
    </w:pPr>
    <w:rPr>
      <w:rFonts w:eastAsiaTheme="majorEastAsia" w:cstheme="majorBidi"/>
      <w:b/>
      <w:color w:val="843922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707"/>
    <w:pPr>
      <w:ind w:left="181" w:right="170"/>
      <w:outlineLvl w:val="5"/>
    </w:pPr>
    <w:rPr>
      <w:rFonts w:eastAsiaTheme="majorEastAsia" w:cstheme="majorBidi"/>
      <w:b/>
      <w:color w:val="843922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AD214A"/>
    <w:pPr>
      <w:spacing w:after="120"/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1217C"/>
    <w:rPr>
      <w:rFonts w:ascii="Arial" w:eastAsiaTheme="majorEastAsia" w:hAnsi="Arial" w:cstheme="majorBidi"/>
      <w:color w:val="843922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51217C"/>
    <w:pPr>
      <w:ind w:left="170"/>
    </w:pPr>
    <w:rPr>
      <w:b/>
      <w:color w:val="843922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AD214A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51217C"/>
    <w:rPr>
      <w:rFonts w:ascii="Arial" w:eastAsia="Arial" w:hAnsi="Arial" w:cs="Arial"/>
      <w:b/>
      <w:color w:val="843922" w:themeColor="accent5"/>
    </w:rPr>
  </w:style>
  <w:style w:type="paragraph" w:customStyle="1" w:styleId="Bullet">
    <w:name w:val="Bullet"/>
    <w:basedOn w:val="TableParagraph"/>
    <w:link w:val="BulletChar"/>
    <w:qFormat/>
    <w:rsid w:val="002B5548"/>
    <w:pPr>
      <w:numPr>
        <w:numId w:val="1"/>
      </w:numPr>
      <w:tabs>
        <w:tab w:val="left" w:pos="1225"/>
      </w:tabs>
      <w:ind w:left="454" w:hanging="227"/>
    </w:pPr>
  </w:style>
  <w:style w:type="character" w:customStyle="1" w:styleId="BulletChar">
    <w:name w:val="Bullet Char"/>
    <w:basedOn w:val="TableParagraphChar"/>
    <w:link w:val="Bullet"/>
    <w:rsid w:val="002B5548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1217C"/>
    <w:rPr>
      <w:rFonts w:ascii="Arial" w:eastAsiaTheme="majorEastAsia" w:hAnsi="Arial" w:cstheme="majorBidi"/>
      <w:b/>
      <w:color w:val="843922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217C"/>
    <w:rPr>
      <w:rFonts w:ascii="Arial" w:eastAsiaTheme="majorEastAsia" w:hAnsi="Arial" w:cstheme="majorBidi"/>
      <w:iCs/>
      <w:color w:val="843922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67707"/>
    <w:rPr>
      <w:rFonts w:ascii="Arial" w:eastAsiaTheme="majorEastAsia" w:hAnsi="Arial" w:cstheme="majorBidi"/>
      <w:b/>
      <w:color w:val="843922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67707"/>
    <w:rPr>
      <w:rFonts w:ascii="Arial" w:eastAsiaTheme="majorEastAsia" w:hAnsi="Arial" w:cstheme="majorBidi"/>
      <w:b/>
      <w:color w:val="843922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paragraph" w:customStyle="1" w:styleId="BulletLevel2">
    <w:name w:val="Bullet Level 2"/>
    <w:basedOn w:val="Bullet"/>
    <w:link w:val="BulletLevel2Char"/>
    <w:qFormat/>
    <w:rsid w:val="002B5548"/>
    <w:pPr>
      <w:numPr>
        <w:numId w:val="2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2B554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0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3376"/>
    <w:pPr>
      <w:numPr>
        <w:ilvl w:val="1"/>
      </w:numPr>
      <w:spacing w:after="120"/>
      <w:ind w:left="567" w:right="170"/>
    </w:pPr>
    <w:rPr>
      <w:rFonts w:eastAsiaTheme="minorEastAsia" w:cstheme="minorBidi"/>
      <w:color w:val="A1561C" w:themeColor="accent6"/>
    </w:rPr>
  </w:style>
  <w:style w:type="character" w:customStyle="1" w:styleId="SubtitleChar">
    <w:name w:val="Subtitle Char"/>
    <w:basedOn w:val="DefaultParagraphFont"/>
    <w:link w:val="Subtitle"/>
    <w:uiPriority w:val="11"/>
    <w:rsid w:val="00073376"/>
    <w:rPr>
      <w:rFonts w:ascii="Arial" w:eastAsiaTheme="minorEastAsia" w:hAnsi="Arial"/>
      <w:color w:val="A1561C" w:themeColor="accent6"/>
    </w:rPr>
  </w:style>
  <w:style w:type="character" w:styleId="CommentReference">
    <w:name w:val="annotation reference"/>
    <w:basedOn w:val="DefaultParagraphFont"/>
    <w:uiPriority w:val="99"/>
    <w:semiHidden/>
    <w:unhideWhenUsed/>
    <w:rsid w:val="009B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F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98"/>
    <w:rPr>
      <w:rFonts w:ascii="Arial" w:eastAsia="Arial" w:hAnsi="Arial" w:cs="Arial"/>
      <w:b/>
      <w:bCs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2B5548"/>
    <w:pPr>
      <w:numPr>
        <w:numId w:val="3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2B554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1C347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Hangarau Technology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843922"/>
      </a:accent5>
      <a:accent6>
        <a:srgbClr val="A1561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76eb7396da5a85d67d84f59f1b5acd9f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906aa410d6d5cada8e4e3f8e50651203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MoEd-1026393692-24758</_dlc_DocId>
    <_ip_UnifiedCompliancePolicyUIAction xmlns="http://schemas.microsoft.com/sharepoint/v3" xsi:nil="true"/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  <_dlc_DocIdPersistId xmlns="53ece4ca-2547-4740-831a-d48c281b7a6a">false</_dlc_DocIdPersistId>
    <Completed xmlns="256c2040-7c59-40d7-8063-8e42ad73f6d6" xsi:nil="true"/>
    <_dlc_DocIdUrl xmlns="53ece4ca-2547-4740-831a-d48c281b7a6a">
      <Url>https://educationgovtnz.sharepoint.com/sites/GRPMoEELSASecondaryTertiary-NCEAReviewandMaintenance/_layouts/15/DocIdRedir.aspx?ID=MoEd-1026393692-24758</Url>
      <Description>MoEd-1026393692-24758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B4D9E-73BA-4C3F-A45E-89C1EB2CB3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2E3846-1E1E-4C60-9EDE-E8DA56ACC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c2040-7c59-40d7-8063-8e42ad73f6d6"/>
    <ds:schemaRef ds:uri="53ece4ca-2547-4740-831a-d48c281b7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F26BC-3383-4CEF-8B84-ADB49DDE2C4F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53ece4ca-2547-4740-831a-d48c281b7a6a"/>
    <ds:schemaRef ds:uri="256c2040-7c59-40d7-8063-8e42ad73f6d6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DC29C81-CD15-4736-B4D9-FBD4B98A7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2025-09-16T04:12:00Z</dcterms:created>
  <dcterms:modified xsi:type="dcterms:W3CDTF">2025-09-16T04:12:00Z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59c38d2,82b1c43,1b67aced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c302870,767e6300,421027be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2025-09-16T04:12:25Z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a725d881-436c-4dfd-b797-2528b9923995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j560beb70aea488fb091e84adbb32566">
    <vt:lpwstr/>
  </property>
  <property fmtid="{D5CDD505-2E9C-101B-9397-08002B2CF9AE}" pid="17" name="Property Management Activity">
    <vt:lpwstr/>
  </property>
  <property fmtid="{D5CDD505-2E9C-101B-9397-08002B2CF9AE}" pid="18" name="Order">
    <vt:r8>38000</vt:r8>
  </property>
  <property fmtid="{D5CDD505-2E9C-101B-9397-08002B2CF9AE}" pid="19" name="LastSaved">
    <vt:filetime>2023-12-13T00:00:00Z</vt:filetime>
  </property>
  <property fmtid="{D5CDD505-2E9C-101B-9397-08002B2CF9AE}" pid="20" name="MediaServiceImageTags">
    <vt:lpwstr/>
  </property>
  <property fmtid="{D5CDD505-2E9C-101B-9397-08002B2CF9AE}" pid="21" name="xd_ProgID">
    <vt:lpwstr/>
  </property>
  <property fmtid="{D5CDD505-2E9C-101B-9397-08002B2CF9AE}" pid="22" name="ContentTypeId">
    <vt:lpwstr>0x010100E017BDE897364648B30816D5ECAD9F22</vt:lpwstr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hf7c71fd10d346fe8adb3bb49d5c0fc0">
    <vt:lpwstr/>
  </property>
  <property fmtid="{D5CDD505-2E9C-101B-9397-08002B2CF9AE}" pid="26" name="_ExtendedDescription">
    <vt:lpwstr/>
  </property>
  <property fmtid="{D5CDD505-2E9C-101B-9397-08002B2CF9AE}" pid="27" name="Creator">
    <vt:lpwstr>Adobe InDesign 18.2 (Macintosh)</vt:lpwstr>
  </property>
  <property fmtid="{D5CDD505-2E9C-101B-9397-08002B2CF9AE}" pid="28" name="Producer">
    <vt:lpwstr>Adobe PDF Library 17.0</vt:lpwstr>
  </property>
  <property fmtid="{D5CDD505-2E9C-101B-9397-08002B2CF9AE}" pid="29" name="xd_Signature">
    <vt:bool>false</vt:bool>
  </property>
  <property fmtid="{D5CDD505-2E9C-101B-9397-08002B2CF9AE}" pid="30" name="Ministerial Type">
    <vt:lpwstr/>
  </property>
  <property fmtid="{D5CDD505-2E9C-101B-9397-08002B2CF9AE}" pid="31" name="Created">
    <vt:filetime>2023-12-11T00:00:00Z</vt:filetime>
  </property>
  <property fmtid="{D5CDD505-2E9C-101B-9397-08002B2CF9AE}" pid="32" name="CalendarYear">
    <vt:lpwstr/>
  </property>
  <property fmtid="{D5CDD505-2E9C-101B-9397-08002B2CF9AE}" pid="33" name="FinancialYear">
    <vt:lpwstr/>
  </property>
  <property fmtid="{D5CDD505-2E9C-101B-9397-08002B2CF9AE}" pid="34" name="m06bc18559e9431bb4d590962e6b7f83">
    <vt:lpwstr/>
  </property>
  <property fmtid="{D5CDD505-2E9C-101B-9397-08002B2CF9AE}" pid="35" name="_dlc_DocIdItemGuid">
    <vt:lpwstr>110e3950-f725-4055-acd4-f8907247194b</vt:lpwstr>
  </property>
  <property fmtid="{D5CDD505-2E9C-101B-9397-08002B2CF9AE}" pid="36" name="ce139978aae645acb1db0a0e0d3df2f5">
    <vt:lpwstr/>
  </property>
  <property fmtid="{D5CDD505-2E9C-101B-9397-08002B2CF9AE}" pid="37" name="TriggerFlowInfo">
    <vt:lpwstr/>
  </property>
  <property fmtid="{D5CDD505-2E9C-101B-9397-08002B2CF9AE}" pid="38" name="Record Activity">
    <vt:lpwstr/>
  </property>
  <property fmtid="{D5CDD505-2E9C-101B-9397-08002B2CF9AE}" pid="39" name="JIRALink">
    <vt:lpwstr>, </vt:lpwstr>
  </property>
</Properties>
</file>