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0C9E56C1" w:rsidR="00AB3DCB" w:rsidRDefault="000C0243" w:rsidP="00D24F8E">
      <w:pPr>
        <w:pStyle w:val="Heading1"/>
        <w:ind w:left="0"/>
      </w:pPr>
      <w:r>
        <w:rPr>
          <w:spacing w:val="-6"/>
        </w:rPr>
        <w:t xml:space="preserve">Design and Visual Communication </w:t>
      </w:r>
      <w:r w:rsidR="00702D0E" w:rsidRPr="007B3B4F">
        <w:rPr>
          <w:spacing w:val="-6"/>
        </w:rPr>
        <w:t>NCEA</w:t>
      </w:r>
      <w:r w:rsidR="00702D0E" w:rsidRPr="007B3B4F">
        <w:rPr>
          <w:spacing w:val="-31"/>
        </w:rPr>
        <w:t xml:space="preserve"> </w:t>
      </w:r>
      <w:r w:rsidR="00702D0E" w:rsidRPr="007B3B4F">
        <w:rPr>
          <w:spacing w:val="-6"/>
        </w:rPr>
        <w:t>NZC</w:t>
      </w:r>
      <w:r w:rsidR="00702D0E" w:rsidRPr="007B3B4F">
        <w:rPr>
          <w:spacing w:val="-17"/>
        </w:rPr>
        <w:t xml:space="preserve"> </w:t>
      </w:r>
      <w:r w:rsidR="00702D0E" w:rsidRPr="007B3B4F">
        <w:rPr>
          <w:spacing w:val="-6"/>
        </w:rPr>
        <w:t>Level</w:t>
      </w:r>
      <w:r w:rsidR="00702D0E" w:rsidRPr="007B3B4F">
        <w:rPr>
          <w:spacing w:val="-17"/>
        </w:rPr>
        <w:t xml:space="preserve"> </w:t>
      </w:r>
      <w:r w:rsidR="00AA2CE2">
        <w:rPr>
          <w:spacing w:val="-6"/>
        </w:rPr>
        <w:t>1</w:t>
      </w:r>
      <w:r w:rsidR="00702D0E" w:rsidRPr="007B3B4F">
        <w:rPr>
          <w:spacing w:val="-16"/>
        </w:rPr>
        <w:t xml:space="preserve"> </w:t>
      </w:r>
      <w:r w:rsidR="00702D0E" w:rsidRPr="007B3B4F">
        <w:rPr>
          <w:spacing w:val="-6"/>
        </w:rPr>
        <w:t>Course</w:t>
      </w:r>
      <w:r w:rsidR="00702D0E" w:rsidRPr="007B3B4F">
        <w:rPr>
          <w:spacing w:val="-17"/>
        </w:rPr>
        <w:t xml:space="preserve"> </w:t>
      </w:r>
      <w:r w:rsidR="00702D0E" w:rsidRPr="007B3B4F">
        <w:rPr>
          <w:spacing w:val="-6"/>
        </w:rPr>
        <w:t>Outline</w:t>
      </w:r>
      <w:r w:rsidR="00702D0E" w:rsidRPr="007B3B4F">
        <w:rPr>
          <w:spacing w:val="-17"/>
        </w:rPr>
        <w:t xml:space="preserve"> </w:t>
      </w:r>
      <w:r w:rsidR="00702D0E" w:rsidRPr="007B3B4F">
        <w:rPr>
          <w:spacing w:val="-6"/>
        </w:rPr>
        <w:t>1</w:t>
      </w:r>
    </w:p>
    <w:p w14:paraId="435CF41C" w14:textId="5EEE751D" w:rsidR="00AB3DCB" w:rsidRDefault="00AB3DCB" w:rsidP="00596776">
      <w:pPr>
        <w:spacing w:before="0"/>
        <w:rPr>
          <w:sz w:val="29"/>
        </w:rPr>
      </w:pPr>
    </w:p>
    <w:p w14:paraId="4A154D3D" w14:textId="77777777" w:rsidR="00C91E0C" w:rsidRDefault="00C91E0C" w:rsidP="007930FE">
      <w:pPr>
        <w:pBdr>
          <w:top w:val="single" w:sz="24" w:space="1" w:color="A1561C" w:themeColor="accent6"/>
        </w:pBdr>
        <w:rPr>
          <w:sz w:val="29"/>
        </w:rPr>
      </w:pPr>
    </w:p>
    <w:p w14:paraId="065A4975" w14:textId="78AF8F0A" w:rsidR="00AB3DCB" w:rsidRPr="005B173E" w:rsidRDefault="00702D0E" w:rsidP="00D24F8E">
      <w:pPr>
        <w:pStyle w:val="BodyText"/>
        <w:spacing w:line="276" w:lineRule="auto"/>
        <w:ind w:right="1639"/>
        <w:rPr>
          <w:rStyle w:val="Heading4Char"/>
        </w:rPr>
      </w:pPr>
      <w:r w:rsidRPr="00F47894">
        <w:rPr>
          <w:rStyle w:val="Heading3Char"/>
        </w:rPr>
        <w:t>Purpose:</w:t>
      </w:r>
      <w:r>
        <w:rPr>
          <w:b/>
          <w:color w:val="004F74"/>
          <w:spacing w:val="-20"/>
          <w:sz w:val="28"/>
        </w:rPr>
        <w:t xml:space="preserve"> </w:t>
      </w:r>
      <w:r w:rsidRPr="005B173E">
        <w:rPr>
          <w:rStyle w:val="Heading4Char"/>
        </w:rPr>
        <w:t>This example Course Outline (CO) has been provided to support teachers to understand how the new subject Learning Matrix and NCEA Achievement Standards might be used to create a year-long programme of learning</w:t>
      </w:r>
      <w:r w:rsidR="00E47238">
        <w:rPr>
          <w:rStyle w:val="Heading4Char"/>
        </w:rPr>
        <w:t>.</w:t>
      </w:r>
    </w:p>
    <w:p w14:paraId="7C6A4AC0" w14:textId="77777777" w:rsidR="00AB3DCB" w:rsidRDefault="00AB3DCB" w:rsidP="00AD0702">
      <w:pPr>
        <w:pStyle w:val="BodyText"/>
        <w:spacing w:after="120"/>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14:paraId="6A500449" w14:textId="77777777" w:rsidTr="004C68E3">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Default="0063149B" w:rsidP="00856D51">
            <w:pPr>
              <w:pStyle w:val="TableHeading"/>
              <w:spacing w:before="160" w:after="160"/>
              <w:ind w:left="179" w:right="372"/>
            </w:pPr>
            <w:r w:rsidRPr="00875E2F">
              <w:t xml:space="preserve">Significant </w:t>
            </w:r>
            <w:r w:rsidRPr="00875E2F">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Default="0063149B" w:rsidP="00856D51">
            <w:pPr>
              <w:pStyle w:val="TableHeading"/>
              <w:spacing w:before="160" w:after="160"/>
            </w:pPr>
            <w:r>
              <w:t>Learning</w:t>
            </w:r>
            <w:r>
              <w:rPr>
                <w:spacing w:val="-14"/>
              </w:rPr>
              <w:t xml:space="preserve"> </w:t>
            </w:r>
            <w:r>
              <w:t>Activities</w:t>
            </w:r>
            <w:r>
              <w:rPr>
                <w:spacing w:val="-2"/>
              </w:rPr>
              <w:t xml:space="preserve"> </w:t>
            </w:r>
            <w:r>
              <w:t>and</w:t>
            </w:r>
            <w:r>
              <w:rPr>
                <w:spacing w:val="-11"/>
              </w:rPr>
              <w:t xml:space="preserve"> </w:t>
            </w:r>
            <w:r>
              <w:t>Assessment</w:t>
            </w:r>
            <w:r>
              <w:rPr>
                <w:spacing w:val="-2"/>
              </w:rPr>
              <w:t xml:space="preserve"> Opportunities</w:t>
            </w:r>
          </w:p>
        </w:tc>
      </w:tr>
      <w:tr w:rsidR="0072141B" w14:paraId="631C42FB" w14:textId="77777777" w:rsidTr="0072141B">
        <w:tc>
          <w:tcPr>
            <w:tcW w:w="8931" w:type="dxa"/>
            <w:tcBorders>
              <w:top w:val="single" w:sz="4" w:space="0" w:color="A1561C" w:themeColor="accent6"/>
              <w:right w:val="single" w:sz="4" w:space="0" w:color="A1561C" w:themeColor="accent6"/>
            </w:tcBorders>
          </w:tcPr>
          <w:p w14:paraId="00D0D221" w14:textId="77777777" w:rsidR="0072141B" w:rsidRDefault="0072141B">
            <w:pPr>
              <w:pStyle w:val="Heading6"/>
            </w:pPr>
          </w:p>
        </w:tc>
        <w:tc>
          <w:tcPr>
            <w:tcW w:w="12947" w:type="dxa"/>
            <w:tcBorders>
              <w:top w:val="single" w:sz="4" w:space="0" w:color="A1561C" w:themeColor="accent6"/>
              <w:left w:val="single" w:sz="4" w:space="0" w:color="A1561C" w:themeColor="accent6"/>
            </w:tcBorders>
          </w:tcPr>
          <w:p w14:paraId="454EDF4F" w14:textId="77777777" w:rsidR="00FD1CBA" w:rsidRDefault="00FD1CBA" w:rsidP="00FD1CBA">
            <w:pPr>
              <w:pStyle w:val="Heading5"/>
            </w:pPr>
            <w:r w:rsidRPr="00FD1CBA">
              <w:t>Learning about one’s personal perspective</w:t>
            </w:r>
          </w:p>
          <w:p w14:paraId="666EC4C7" w14:textId="77777777" w:rsidR="00AC72C1" w:rsidRDefault="00AC72C1">
            <w:pPr>
              <w:pStyle w:val="Heading6"/>
              <w:spacing w:after="120"/>
            </w:pPr>
            <w:r w:rsidRPr="00AC72C1">
              <w:t>Students will explore how designers bring their own unique voice that draws from their personal experiences, cultures, values, and perspectives as well as those of other people, with particular attention given to personal perspectives.</w:t>
            </w:r>
          </w:p>
          <w:p w14:paraId="114A1BE1" w14:textId="344F6F54" w:rsidR="0072141B" w:rsidRDefault="0072141B">
            <w:pPr>
              <w:pStyle w:val="Heading6"/>
              <w:spacing w:after="120"/>
            </w:pPr>
            <w:r w:rsidRPr="000D5253">
              <w:rPr>
                <w:b w:val="0"/>
                <w:bCs/>
              </w:rPr>
              <w:t xml:space="preserve">Duration </w:t>
            </w:r>
            <w:r w:rsidR="00861455">
              <w:rPr>
                <w:b w:val="0"/>
                <w:bCs/>
              </w:rPr>
              <w:t>—</w:t>
            </w:r>
            <w:r w:rsidRPr="000D5253">
              <w:rPr>
                <w:b w:val="0"/>
                <w:bCs/>
              </w:rPr>
              <w:t xml:space="preserve"> </w:t>
            </w:r>
            <w:r w:rsidR="00AC72C1">
              <w:rPr>
                <w:b w:val="0"/>
                <w:bCs/>
              </w:rPr>
              <w:t>2</w:t>
            </w:r>
            <w:r w:rsidRPr="000D5253">
              <w:rPr>
                <w:b w:val="0"/>
                <w:bCs/>
              </w:rPr>
              <w:t xml:space="preserve"> weeks</w:t>
            </w:r>
          </w:p>
        </w:tc>
      </w:tr>
      <w:tr w:rsidR="0063149B" w14:paraId="72EEBA69" w14:textId="77777777" w:rsidTr="0072141B">
        <w:tc>
          <w:tcPr>
            <w:tcW w:w="8931" w:type="dxa"/>
            <w:tcBorders>
              <w:bottom w:val="single" w:sz="4" w:space="0" w:color="A1561C" w:themeColor="accent6"/>
              <w:right w:val="single" w:sz="4" w:space="0" w:color="A1561C" w:themeColor="accent6"/>
            </w:tcBorders>
          </w:tcPr>
          <w:p w14:paraId="715F6635" w14:textId="77777777" w:rsidR="00600B0E" w:rsidRDefault="00600B0E" w:rsidP="00600B0E">
            <w:pPr>
              <w:pStyle w:val="Bullet"/>
            </w:pPr>
            <w:r>
              <w:t>Understand that the purpose of design is to enhance people’s lives and their environments using aspects of kaitiakitanga, hauora, alofa, and empathy</w:t>
            </w:r>
          </w:p>
          <w:p w14:paraId="73E103F3" w14:textId="77777777" w:rsidR="00600B0E" w:rsidRDefault="00600B0E" w:rsidP="00600B0E">
            <w:pPr>
              <w:pStyle w:val="Bullet"/>
            </w:pPr>
            <w:r>
              <w:t>Explore and consider design influences, design tikanga, practices, principles, and techniques from te ao Māori and indigenous cultures within Design and Visual Communication</w:t>
            </w:r>
          </w:p>
          <w:p w14:paraId="30D9283A" w14:textId="56D3222C" w:rsidR="00600B0E" w:rsidRDefault="00600B0E" w:rsidP="00600B0E">
            <w:pPr>
              <w:pStyle w:val="Bullet"/>
            </w:pPr>
            <w:r>
              <w:t xml:space="preserve">Understand how Design and Visual Communication impacts on end users by considering the following mātauranga Māori principles: kotahitanga, whanaungatanga, manaakitanga, </w:t>
            </w:r>
            <w:proofErr w:type="spellStart"/>
            <w:r>
              <w:t>wairuatanga</w:t>
            </w:r>
            <w:proofErr w:type="spellEnd"/>
            <w:r>
              <w:t xml:space="preserve">, and tikanga </w:t>
            </w:r>
          </w:p>
        </w:tc>
        <w:tc>
          <w:tcPr>
            <w:tcW w:w="12947" w:type="dxa"/>
            <w:tcBorders>
              <w:left w:val="single" w:sz="4" w:space="0" w:color="A1561C" w:themeColor="accent6"/>
              <w:bottom w:val="single" w:sz="4" w:space="0" w:color="A1561C" w:themeColor="accent6"/>
            </w:tcBorders>
          </w:tcPr>
          <w:p w14:paraId="3EAD01FC" w14:textId="1D09DCD9" w:rsidR="00CC5DCD" w:rsidRDefault="00CC5DCD" w:rsidP="007C7967">
            <w:pPr>
              <w:pStyle w:val="TableParagraph"/>
            </w:pPr>
            <w:r>
              <w:t>Students will put together a set of work that shares their personal perspective.</w:t>
            </w:r>
          </w:p>
          <w:p w14:paraId="0E31F13F" w14:textId="14D01A03" w:rsidR="00CC5DCD" w:rsidRDefault="00CC5DCD" w:rsidP="00CC5DCD">
            <w:pPr>
              <w:pStyle w:val="Bullet"/>
            </w:pPr>
            <w:r>
              <w:t>Their background stories (something about themselves such as their family, culture, interests, or experiences).</w:t>
            </w:r>
          </w:p>
          <w:p w14:paraId="2D00C96A" w14:textId="4251EDCA" w:rsidR="00CC5DCD" w:rsidRDefault="00CC5DCD" w:rsidP="00CC5DCD">
            <w:pPr>
              <w:pStyle w:val="Bullet"/>
            </w:pPr>
            <w:r>
              <w:t>The creative heritage that they bring to their work (art, design, music, drama, dance, writing, craft, sports, etc — what they have done and/or examples of what they are interested in).</w:t>
            </w:r>
          </w:p>
          <w:p w14:paraId="123BC4F2" w14:textId="77777777" w:rsidR="00CC5DCD" w:rsidRDefault="00CC5DCD" w:rsidP="0027786B">
            <w:pPr>
              <w:pStyle w:val="TableParagraph"/>
            </w:pPr>
          </w:p>
          <w:p w14:paraId="1212B677" w14:textId="19FF3ECD" w:rsidR="0063149B" w:rsidRDefault="00CC5DCD" w:rsidP="00CC5DCD">
            <w:pPr>
              <w:pStyle w:val="TableParagraph"/>
            </w:pPr>
            <w:r>
              <w:t>This is to be done as a collection of images (that can be talked or written about).</w:t>
            </w:r>
          </w:p>
        </w:tc>
      </w:tr>
      <w:tr w:rsidR="0072141B" w14:paraId="7A7B6B8D" w14:textId="77777777" w:rsidTr="0072141B">
        <w:tc>
          <w:tcPr>
            <w:tcW w:w="8931" w:type="dxa"/>
            <w:tcBorders>
              <w:top w:val="single" w:sz="4" w:space="0" w:color="A1561C" w:themeColor="accent6"/>
              <w:right w:val="single" w:sz="4" w:space="0" w:color="A1561C" w:themeColor="accent6"/>
            </w:tcBorders>
          </w:tcPr>
          <w:p w14:paraId="1F379583" w14:textId="77777777" w:rsidR="0072141B" w:rsidRDefault="0072141B" w:rsidP="00A345E9">
            <w:pPr>
              <w:pStyle w:val="Heading6"/>
              <w:ind w:left="0"/>
            </w:pPr>
          </w:p>
        </w:tc>
        <w:tc>
          <w:tcPr>
            <w:tcW w:w="12947" w:type="dxa"/>
            <w:tcBorders>
              <w:top w:val="single" w:sz="4" w:space="0" w:color="A1561C" w:themeColor="accent6"/>
              <w:left w:val="single" w:sz="4" w:space="0" w:color="A1561C" w:themeColor="accent6"/>
            </w:tcBorders>
          </w:tcPr>
          <w:p w14:paraId="7C0BE107" w14:textId="146057F2" w:rsidR="005A449E" w:rsidRPr="005F543C" w:rsidRDefault="005A449E" w:rsidP="005A449E">
            <w:pPr>
              <w:pStyle w:val="Heading5"/>
            </w:pPr>
            <w:r w:rsidRPr="005A449E">
              <w:t xml:space="preserve">Project one — part one: </w:t>
            </w:r>
            <w:r w:rsidR="005F543C" w:rsidRPr="00CD164C">
              <w:t>Inviting Spaces</w:t>
            </w:r>
          </w:p>
          <w:p w14:paraId="706C68AF" w14:textId="4F1A99E2" w:rsidR="00DB3E51" w:rsidRPr="00DE1214" w:rsidRDefault="00DB3E51" w:rsidP="00DB3E51">
            <w:pPr>
              <w:pStyle w:val="Heading6"/>
              <w:rPr>
                <w:strike/>
              </w:rPr>
            </w:pPr>
            <w:r w:rsidRPr="00DB3E51">
              <w:rPr>
                <w:bCs/>
              </w:rPr>
              <w:t xml:space="preserve">Activity: Students will research, gather images, and explore ideas for </w:t>
            </w:r>
            <w:r w:rsidR="00DE1214" w:rsidRPr="00CD164C">
              <w:rPr>
                <w:bCs/>
              </w:rPr>
              <w:t>inviting spaces</w:t>
            </w:r>
            <w:r w:rsidR="00DE1214">
              <w:rPr>
                <w:bCs/>
              </w:rPr>
              <w:t xml:space="preserve">. </w:t>
            </w:r>
          </w:p>
          <w:p w14:paraId="326F7F82" w14:textId="4F0461DA" w:rsidR="0072141B" w:rsidRDefault="0072141B" w:rsidP="0072141B">
            <w:pPr>
              <w:pStyle w:val="Heading6"/>
              <w:spacing w:after="120"/>
            </w:pPr>
            <w:r w:rsidRPr="000D5253">
              <w:rPr>
                <w:b w:val="0"/>
                <w:bCs/>
              </w:rPr>
              <w:t xml:space="preserve">Duration </w:t>
            </w:r>
            <w:r w:rsidR="00861455">
              <w:rPr>
                <w:b w:val="0"/>
                <w:bCs/>
              </w:rPr>
              <w:t>—</w:t>
            </w:r>
            <w:r w:rsidRPr="000D5253">
              <w:rPr>
                <w:b w:val="0"/>
                <w:bCs/>
              </w:rPr>
              <w:t xml:space="preserve"> </w:t>
            </w:r>
            <w:r w:rsidR="00DB3E51">
              <w:rPr>
                <w:b w:val="0"/>
                <w:bCs/>
              </w:rPr>
              <w:t>1</w:t>
            </w:r>
            <w:r w:rsidRPr="000D5253">
              <w:rPr>
                <w:b w:val="0"/>
                <w:bCs/>
              </w:rPr>
              <w:t xml:space="preserve"> week</w:t>
            </w:r>
          </w:p>
        </w:tc>
      </w:tr>
      <w:tr w:rsidR="00D860EA" w14:paraId="338A2AF3" w14:textId="77777777" w:rsidTr="0072141B">
        <w:tc>
          <w:tcPr>
            <w:tcW w:w="8931" w:type="dxa"/>
            <w:tcBorders>
              <w:bottom w:val="single" w:sz="4" w:space="0" w:color="A1561C" w:themeColor="accent6"/>
              <w:right w:val="single" w:sz="4" w:space="0" w:color="A1561C" w:themeColor="accent6"/>
            </w:tcBorders>
          </w:tcPr>
          <w:p w14:paraId="15A35BFC" w14:textId="435C334F" w:rsidR="00EE6091" w:rsidRDefault="00EE6091" w:rsidP="00EE6091">
            <w:pPr>
              <w:pStyle w:val="Bullet"/>
            </w:pPr>
            <w:r>
              <w:t>Explore and consider design influences, design tikanga, practices, principles, and techniques from te ao Māori and indigenous cultures within Design and Visual Communication</w:t>
            </w:r>
          </w:p>
          <w:p w14:paraId="7A07DD1C" w14:textId="2EB936A1" w:rsidR="00EE6091" w:rsidRDefault="00EE6091" w:rsidP="00EE6091">
            <w:pPr>
              <w:pStyle w:val="Bullet"/>
            </w:pPr>
            <w:r>
              <w:t>Engage with decision-making that is connected to people, places, cultures, and design knowledge in developing design outcomes</w:t>
            </w:r>
          </w:p>
          <w:p w14:paraId="7FF93996" w14:textId="0022614F" w:rsidR="00EE6091" w:rsidRDefault="00EE6091" w:rsidP="00EE6091">
            <w:pPr>
              <w:pStyle w:val="Bullet"/>
            </w:pPr>
            <w:r>
              <w:t xml:space="preserve">Understand how Design and Visual Communication impacts on end users by considering the following mātauranga Māori principles: kotahitanga, whanaungatanga, manaakitanga, </w:t>
            </w:r>
            <w:proofErr w:type="spellStart"/>
            <w:r>
              <w:t>wairuatanga</w:t>
            </w:r>
            <w:proofErr w:type="spellEnd"/>
            <w:r>
              <w:t xml:space="preserve">, and tikanga </w:t>
            </w:r>
          </w:p>
          <w:p w14:paraId="3A48C43D" w14:textId="0FE2AA17" w:rsidR="00EE6091" w:rsidRDefault="00EE6091" w:rsidP="00EE6091">
            <w:pPr>
              <w:pStyle w:val="Bullet"/>
            </w:pPr>
            <w:r>
              <w:t>Develop good practice in the attribution and acknowledgement of sources when using third-party content</w:t>
            </w:r>
          </w:p>
          <w:p w14:paraId="6D29A074" w14:textId="05C7F24E" w:rsidR="00EE6091" w:rsidRDefault="00EE6091" w:rsidP="00EE6091">
            <w:pPr>
              <w:pStyle w:val="Bullet"/>
            </w:pPr>
            <w:r>
              <w:t>Develop the practice of generating design ideas that explore possibilities beyond first thoughts</w:t>
            </w:r>
          </w:p>
          <w:p w14:paraId="48479E19" w14:textId="171A69E9" w:rsidR="00EE6091" w:rsidRDefault="00EE6091" w:rsidP="00EE6091">
            <w:pPr>
              <w:pStyle w:val="Bullet"/>
            </w:pPr>
            <w:r>
              <w:t>Understand and use the design principles of aesthetics and function in own design thinking</w:t>
            </w:r>
          </w:p>
          <w:p w14:paraId="7E89001E" w14:textId="77777777" w:rsidR="00EE6091" w:rsidRDefault="00EE6091" w:rsidP="00EE6091">
            <w:pPr>
              <w:pStyle w:val="Bullet"/>
            </w:pPr>
            <w:r>
              <w:t>Use both divergent and convergent thinking in developing design outcomes</w:t>
            </w:r>
          </w:p>
          <w:p w14:paraId="00D85F3C" w14:textId="77777777" w:rsidR="00B0681A" w:rsidRDefault="00B0681A" w:rsidP="00EE6091">
            <w:pPr>
              <w:pStyle w:val="Bullet"/>
              <w:numPr>
                <w:ilvl w:val="0"/>
                <w:numId w:val="0"/>
              </w:numPr>
              <w:ind w:left="227"/>
            </w:pPr>
          </w:p>
          <w:p w14:paraId="73CB4D06" w14:textId="77777777" w:rsidR="008F33CB" w:rsidRDefault="008F33CB" w:rsidP="00EE6091">
            <w:pPr>
              <w:pStyle w:val="Bullet"/>
              <w:numPr>
                <w:ilvl w:val="0"/>
                <w:numId w:val="0"/>
              </w:numPr>
              <w:ind w:left="227"/>
            </w:pPr>
          </w:p>
          <w:p w14:paraId="7064E6AE" w14:textId="77777777" w:rsidR="008F33CB" w:rsidRDefault="008F33CB" w:rsidP="0075134D">
            <w:pPr>
              <w:pStyle w:val="Bullet"/>
              <w:numPr>
                <w:ilvl w:val="0"/>
                <w:numId w:val="0"/>
              </w:numPr>
              <w:spacing w:before="60"/>
              <w:ind w:left="227"/>
            </w:pPr>
          </w:p>
          <w:p w14:paraId="1BB156A2" w14:textId="77777777" w:rsidR="008F33CB" w:rsidRDefault="008F33CB" w:rsidP="00EE6091">
            <w:pPr>
              <w:pStyle w:val="Bullet"/>
              <w:numPr>
                <w:ilvl w:val="0"/>
                <w:numId w:val="0"/>
              </w:numPr>
              <w:ind w:left="227"/>
            </w:pPr>
          </w:p>
          <w:p w14:paraId="4DB72E23" w14:textId="77777777" w:rsidR="008F33CB" w:rsidRDefault="008F33CB" w:rsidP="0075134D">
            <w:pPr>
              <w:pStyle w:val="Bullet"/>
              <w:numPr>
                <w:ilvl w:val="0"/>
                <w:numId w:val="0"/>
              </w:numPr>
              <w:spacing w:before="0" w:after="80"/>
              <w:ind w:left="227"/>
            </w:pPr>
          </w:p>
          <w:p w14:paraId="36751395" w14:textId="77777777" w:rsidR="008F33CB" w:rsidRDefault="008F33CB" w:rsidP="00A345E9">
            <w:pPr>
              <w:pStyle w:val="Bullet"/>
              <w:numPr>
                <w:ilvl w:val="0"/>
                <w:numId w:val="0"/>
              </w:numPr>
              <w:spacing w:before="0" w:after="0"/>
              <w:ind w:left="227"/>
            </w:pPr>
          </w:p>
          <w:p w14:paraId="0D9A3FC5" w14:textId="77777777" w:rsidR="008F33CB" w:rsidRDefault="008F33CB" w:rsidP="00A345E9">
            <w:pPr>
              <w:pStyle w:val="Bullet"/>
              <w:numPr>
                <w:ilvl w:val="0"/>
                <w:numId w:val="0"/>
              </w:numPr>
              <w:spacing w:before="0" w:after="0"/>
              <w:ind w:left="227"/>
            </w:pPr>
          </w:p>
          <w:p w14:paraId="4D686472" w14:textId="77777777" w:rsidR="008F33CB" w:rsidRDefault="008F33CB" w:rsidP="00EE6091">
            <w:pPr>
              <w:pStyle w:val="Bullet"/>
              <w:numPr>
                <w:ilvl w:val="0"/>
                <w:numId w:val="0"/>
              </w:numPr>
              <w:ind w:left="227"/>
            </w:pPr>
          </w:p>
          <w:p w14:paraId="3F578A57" w14:textId="77777777" w:rsidR="00A345E9" w:rsidRDefault="00A345E9" w:rsidP="00EE6091">
            <w:pPr>
              <w:pStyle w:val="Bullet"/>
              <w:numPr>
                <w:ilvl w:val="0"/>
                <w:numId w:val="0"/>
              </w:numPr>
              <w:ind w:left="227"/>
            </w:pPr>
          </w:p>
          <w:p w14:paraId="591E7E99" w14:textId="77777777" w:rsidR="008F33CB" w:rsidRDefault="008F33CB" w:rsidP="00EE6091">
            <w:pPr>
              <w:pStyle w:val="Bullet"/>
              <w:numPr>
                <w:ilvl w:val="0"/>
                <w:numId w:val="0"/>
              </w:numPr>
              <w:ind w:left="227"/>
            </w:pPr>
          </w:p>
          <w:p w14:paraId="01EB9478" w14:textId="77777777" w:rsidR="008F33CB" w:rsidRDefault="008F33CB" w:rsidP="008F33CB">
            <w:pPr>
              <w:pStyle w:val="Bullet"/>
            </w:pPr>
            <w:r w:rsidRPr="00B60202">
              <w:t>Develop visual skills and techniques for generating and exploring design ideas</w:t>
            </w:r>
          </w:p>
          <w:p w14:paraId="616815D7" w14:textId="77777777" w:rsidR="008F33CB" w:rsidRDefault="008F33CB" w:rsidP="00EE6091">
            <w:pPr>
              <w:pStyle w:val="Bullet"/>
              <w:numPr>
                <w:ilvl w:val="0"/>
                <w:numId w:val="0"/>
              </w:numPr>
              <w:ind w:left="227"/>
            </w:pPr>
          </w:p>
          <w:p w14:paraId="2B0D2008" w14:textId="77777777" w:rsidR="007E619D" w:rsidRDefault="007E619D" w:rsidP="00FE7621">
            <w:pPr>
              <w:pStyle w:val="Bullet"/>
              <w:numPr>
                <w:ilvl w:val="0"/>
                <w:numId w:val="0"/>
              </w:numPr>
              <w:spacing w:before="0" w:after="0"/>
              <w:ind w:left="227"/>
            </w:pPr>
          </w:p>
          <w:p w14:paraId="61B7FB8B" w14:textId="77777777" w:rsidR="007E619D" w:rsidRDefault="007E619D" w:rsidP="00EE6091">
            <w:pPr>
              <w:pStyle w:val="Bullet"/>
              <w:numPr>
                <w:ilvl w:val="0"/>
                <w:numId w:val="0"/>
              </w:numPr>
              <w:ind w:left="227"/>
            </w:pPr>
          </w:p>
          <w:p w14:paraId="4909BC9F" w14:textId="77777777" w:rsidR="007E619D" w:rsidRDefault="007E619D" w:rsidP="00EE6091">
            <w:pPr>
              <w:pStyle w:val="Bullet"/>
              <w:numPr>
                <w:ilvl w:val="0"/>
                <w:numId w:val="0"/>
              </w:numPr>
              <w:ind w:left="227"/>
            </w:pPr>
          </w:p>
          <w:p w14:paraId="3516E04F" w14:textId="77777777" w:rsidR="007E619D" w:rsidRDefault="007E619D" w:rsidP="000965F4">
            <w:pPr>
              <w:pStyle w:val="Bullet"/>
              <w:numPr>
                <w:ilvl w:val="0"/>
                <w:numId w:val="0"/>
              </w:numPr>
              <w:spacing w:before="0" w:after="0"/>
              <w:ind w:left="227"/>
            </w:pPr>
          </w:p>
          <w:p w14:paraId="4DEBA2B0" w14:textId="77777777" w:rsidR="007E619D" w:rsidRDefault="007E619D" w:rsidP="000965F4">
            <w:pPr>
              <w:pStyle w:val="Bullet"/>
              <w:numPr>
                <w:ilvl w:val="0"/>
                <w:numId w:val="0"/>
              </w:numPr>
              <w:spacing w:before="0" w:after="0"/>
              <w:ind w:left="227"/>
            </w:pPr>
          </w:p>
          <w:p w14:paraId="7792746B" w14:textId="77777777" w:rsidR="007E619D" w:rsidRDefault="007E619D" w:rsidP="000965F4">
            <w:pPr>
              <w:pStyle w:val="Bullet"/>
              <w:numPr>
                <w:ilvl w:val="0"/>
                <w:numId w:val="0"/>
              </w:numPr>
              <w:spacing w:before="0" w:after="0"/>
            </w:pPr>
          </w:p>
          <w:p w14:paraId="347CEF1E" w14:textId="77777777" w:rsidR="000965F4" w:rsidRDefault="000965F4" w:rsidP="0075134D">
            <w:pPr>
              <w:pStyle w:val="Bullet"/>
              <w:numPr>
                <w:ilvl w:val="0"/>
                <w:numId w:val="0"/>
              </w:numPr>
              <w:spacing w:after="40"/>
            </w:pPr>
          </w:p>
          <w:p w14:paraId="51E38007" w14:textId="77777777" w:rsidR="007E619D" w:rsidRDefault="007E619D" w:rsidP="000965F4">
            <w:pPr>
              <w:pStyle w:val="Bullet"/>
              <w:numPr>
                <w:ilvl w:val="0"/>
                <w:numId w:val="0"/>
              </w:numPr>
              <w:spacing w:before="0" w:after="0"/>
              <w:ind w:left="227"/>
            </w:pPr>
          </w:p>
          <w:p w14:paraId="415A248A" w14:textId="77777777" w:rsidR="007E619D" w:rsidRDefault="007E619D" w:rsidP="00FE7621">
            <w:pPr>
              <w:pStyle w:val="Bullet"/>
              <w:numPr>
                <w:ilvl w:val="0"/>
                <w:numId w:val="0"/>
              </w:numPr>
              <w:spacing w:before="80"/>
              <w:ind w:left="227"/>
            </w:pPr>
          </w:p>
          <w:p w14:paraId="292ECC58" w14:textId="77777777" w:rsidR="007E619D" w:rsidRDefault="007E619D" w:rsidP="00EE6091">
            <w:pPr>
              <w:pStyle w:val="Bullet"/>
              <w:numPr>
                <w:ilvl w:val="0"/>
                <w:numId w:val="0"/>
              </w:numPr>
              <w:ind w:left="227"/>
            </w:pPr>
          </w:p>
          <w:p w14:paraId="676566F7" w14:textId="3B065CDE" w:rsidR="007E619D" w:rsidRPr="00B60202" w:rsidRDefault="007E619D" w:rsidP="00636D5E">
            <w:pPr>
              <w:pStyle w:val="Bullet"/>
            </w:pPr>
            <w:r w:rsidRPr="00B60202">
              <w:t>Use visual communication and visual presentation techniques to represent the qualities of design ideas and outcomes</w:t>
            </w:r>
          </w:p>
          <w:p w14:paraId="382BF4A3" w14:textId="77777777" w:rsidR="007E619D" w:rsidRPr="00B60202" w:rsidRDefault="007E619D" w:rsidP="007E619D">
            <w:pPr>
              <w:pStyle w:val="Bullet"/>
            </w:pPr>
            <w:r w:rsidRPr="00B60202">
              <w:t>Develop visual skills and instrumental techniques to communicate details of design ideas and outcomes</w:t>
            </w:r>
          </w:p>
          <w:p w14:paraId="7FA0C1B4" w14:textId="77777777" w:rsidR="007E619D" w:rsidRDefault="007E619D" w:rsidP="00EE6091">
            <w:pPr>
              <w:pStyle w:val="Bullet"/>
              <w:numPr>
                <w:ilvl w:val="0"/>
                <w:numId w:val="0"/>
              </w:numPr>
              <w:ind w:left="227"/>
            </w:pPr>
          </w:p>
          <w:p w14:paraId="473A3AA9" w14:textId="77777777" w:rsidR="00636D5E" w:rsidRDefault="00636D5E" w:rsidP="00EE6091">
            <w:pPr>
              <w:pStyle w:val="Bullet"/>
              <w:numPr>
                <w:ilvl w:val="0"/>
                <w:numId w:val="0"/>
              </w:numPr>
              <w:ind w:left="227"/>
            </w:pPr>
          </w:p>
          <w:p w14:paraId="51205E7F" w14:textId="77777777" w:rsidR="00636D5E" w:rsidRDefault="00636D5E" w:rsidP="00EE6091">
            <w:pPr>
              <w:pStyle w:val="Bullet"/>
              <w:numPr>
                <w:ilvl w:val="0"/>
                <w:numId w:val="0"/>
              </w:numPr>
              <w:ind w:left="227"/>
            </w:pPr>
          </w:p>
          <w:p w14:paraId="6ADD34EA" w14:textId="77777777" w:rsidR="00636D5E" w:rsidRDefault="00636D5E" w:rsidP="00EE6091">
            <w:pPr>
              <w:pStyle w:val="Bullet"/>
              <w:numPr>
                <w:ilvl w:val="0"/>
                <w:numId w:val="0"/>
              </w:numPr>
              <w:ind w:left="227"/>
            </w:pPr>
          </w:p>
          <w:p w14:paraId="65552925" w14:textId="0B401FCD" w:rsidR="00636D5E" w:rsidRDefault="00636D5E" w:rsidP="00683979">
            <w:pPr>
              <w:pStyle w:val="Bullet"/>
              <w:numPr>
                <w:ilvl w:val="0"/>
                <w:numId w:val="0"/>
              </w:numPr>
            </w:pPr>
          </w:p>
        </w:tc>
        <w:tc>
          <w:tcPr>
            <w:tcW w:w="12947" w:type="dxa"/>
            <w:tcBorders>
              <w:left w:val="single" w:sz="4" w:space="0" w:color="A1561C" w:themeColor="accent6"/>
              <w:bottom w:val="single" w:sz="4" w:space="0" w:color="A1561C" w:themeColor="accent6"/>
            </w:tcBorders>
          </w:tcPr>
          <w:p w14:paraId="7C2CB32D" w14:textId="4F26BB42" w:rsidR="0037378A" w:rsidRPr="0037378A" w:rsidRDefault="0037378A" w:rsidP="0037378A">
            <w:pPr>
              <w:pStyle w:val="TableParagraph"/>
              <w:rPr>
                <w:color w:val="231F20"/>
                <w:spacing w:val="-2"/>
              </w:rPr>
            </w:pPr>
            <w:r w:rsidRPr="0037378A">
              <w:rPr>
                <w:color w:val="231F20"/>
                <w:spacing w:val="-2"/>
              </w:rPr>
              <w:lastRenderedPageBreak/>
              <w:t>Students will explore te ao Māori design influences and how a design has a whakapapa — heritage, philosophies,</w:t>
            </w:r>
            <w:r w:rsidR="00072B52">
              <w:rPr>
                <w:color w:val="231F20"/>
                <w:spacing w:val="-2"/>
              </w:rPr>
              <w:t xml:space="preserve"> and</w:t>
            </w:r>
            <w:r w:rsidRPr="0037378A">
              <w:rPr>
                <w:color w:val="231F20"/>
                <w:spacing w:val="-2"/>
              </w:rPr>
              <w:t xml:space="preserve"> knowledges, aesthetic</w:t>
            </w:r>
            <w:r w:rsidR="1FD0B712" w:rsidRPr="0037378A">
              <w:rPr>
                <w:color w:val="231F20"/>
                <w:spacing w:val="-2"/>
              </w:rPr>
              <w:t>s</w:t>
            </w:r>
            <w:r w:rsidRPr="0037378A">
              <w:rPr>
                <w:color w:val="231F20"/>
                <w:spacing w:val="-2"/>
              </w:rPr>
              <w:t>,</w:t>
            </w:r>
            <w:r w:rsidR="0CAE0E0D" w:rsidRPr="0037378A">
              <w:rPr>
                <w:color w:val="231F20"/>
                <w:spacing w:val="-2"/>
              </w:rPr>
              <w:t xml:space="preserve"> function</w:t>
            </w:r>
            <w:r w:rsidRPr="0037378A">
              <w:rPr>
                <w:color w:val="231F20"/>
                <w:spacing w:val="-2"/>
              </w:rPr>
              <w:t>,</w:t>
            </w:r>
            <w:r w:rsidR="00CA02C5">
              <w:rPr>
                <w:color w:val="231F20"/>
                <w:spacing w:val="-2"/>
              </w:rPr>
              <w:t xml:space="preserve"> </w:t>
            </w:r>
            <w:r w:rsidR="00CA02C5" w:rsidRPr="5AF8A1FD">
              <w:rPr>
                <w:color w:val="231F20"/>
              </w:rPr>
              <w:t>or both,</w:t>
            </w:r>
            <w:r w:rsidRPr="0037378A">
              <w:rPr>
                <w:color w:val="231F20"/>
                <w:spacing w:val="-2"/>
              </w:rPr>
              <w:t xml:space="preserve"> in relation to </w:t>
            </w:r>
            <w:r w:rsidRPr="00CD164C">
              <w:rPr>
                <w:color w:val="231F20"/>
                <w:spacing w:val="-2"/>
              </w:rPr>
              <w:t xml:space="preserve">product </w:t>
            </w:r>
            <w:r w:rsidR="00674CF8" w:rsidRPr="00CD164C">
              <w:rPr>
                <w:color w:val="231F20"/>
                <w:spacing w:val="-2"/>
              </w:rPr>
              <w:t xml:space="preserve">or </w:t>
            </w:r>
            <w:r w:rsidRPr="0037378A">
              <w:rPr>
                <w:color w:val="231F20"/>
                <w:spacing w:val="-2"/>
              </w:rPr>
              <w:t>spatial design.</w:t>
            </w:r>
          </w:p>
          <w:p w14:paraId="59E2CD44" w14:textId="77777777" w:rsidR="0037378A" w:rsidRPr="0037378A" w:rsidRDefault="0037378A" w:rsidP="0037378A">
            <w:pPr>
              <w:pStyle w:val="TableParagraph"/>
              <w:rPr>
                <w:color w:val="231F20"/>
                <w:spacing w:val="-2"/>
              </w:rPr>
            </w:pPr>
          </w:p>
          <w:p w14:paraId="6CE996B9" w14:textId="71603B5D" w:rsidR="0037378A" w:rsidRPr="0037378A" w:rsidRDefault="0037378A" w:rsidP="0037378A">
            <w:pPr>
              <w:pStyle w:val="TableParagraph"/>
              <w:rPr>
                <w:color w:val="231F20"/>
                <w:spacing w:val="-2"/>
              </w:rPr>
            </w:pPr>
            <w:r w:rsidRPr="0037378A">
              <w:rPr>
                <w:color w:val="231F20"/>
                <w:spacing w:val="-2"/>
              </w:rPr>
              <w:t>Examples of a design influence from te ao Māori could visually describe regional (design) styles and the knowledge</w:t>
            </w:r>
            <w:r w:rsidR="00D76733">
              <w:rPr>
                <w:color w:val="231F20"/>
                <w:spacing w:val="-2"/>
              </w:rPr>
              <w:t xml:space="preserve"> and</w:t>
            </w:r>
            <w:r w:rsidRPr="0037378A">
              <w:rPr>
                <w:color w:val="231F20"/>
                <w:spacing w:val="-2"/>
              </w:rPr>
              <w:t xml:space="preserve"> meanings within. Finding out about relevant tikanga, such as why specific designs are used in a certain way or in a certain place, will support students to gain meaning from and make a connection to the knowledge that informs the design appropriately.</w:t>
            </w:r>
          </w:p>
          <w:p w14:paraId="58481C0F" w14:textId="77777777" w:rsidR="0037378A" w:rsidRPr="0037378A" w:rsidRDefault="0037378A" w:rsidP="0037378A">
            <w:pPr>
              <w:pStyle w:val="TableParagraph"/>
              <w:rPr>
                <w:color w:val="231F20"/>
                <w:spacing w:val="-2"/>
              </w:rPr>
            </w:pPr>
            <w:r w:rsidRPr="0037378A">
              <w:rPr>
                <w:color w:val="231F20"/>
                <w:spacing w:val="-2"/>
              </w:rPr>
              <w:t>Students will select an appropriate design influence from te ao Māori such as an object, structure, or a product that serves a specific purpose (</w:t>
            </w:r>
            <w:proofErr w:type="spellStart"/>
            <w:r w:rsidRPr="0037378A">
              <w:rPr>
                <w:color w:val="231F20"/>
                <w:spacing w:val="-2"/>
              </w:rPr>
              <w:t>eg</w:t>
            </w:r>
            <w:proofErr w:type="spellEnd"/>
            <w:r w:rsidRPr="0037378A">
              <w:rPr>
                <w:color w:val="231F20"/>
                <w:spacing w:val="-2"/>
              </w:rPr>
              <w:t xml:space="preserve"> </w:t>
            </w:r>
            <w:proofErr w:type="spellStart"/>
            <w:r w:rsidRPr="0037378A">
              <w:rPr>
                <w:color w:val="231F20"/>
                <w:spacing w:val="-2"/>
              </w:rPr>
              <w:t>kupenga</w:t>
            </w:r>
            <w:proofErr w:type="spellEnd"/>
            <w:r w:rsidRPr="0037378A">
              <w:rPr>
                <w:color w:val="231F20"/>
                <w:spacing w:val="-2"/>
              </w:rPr>
              <w:t xml:space="preserve">/fishing net, waka/canoe, </w:t>
            </w:r>
            <w:proofErr w:type="spellStart"/>
            <w:r w:rsidRPr="0037378A">
              <w:rPr>
                <w:color w:val="231F20"/>
                <w:spacing w:val="-2"/>
              </w:rPr>
              <w:t>patu</w:t>
            </w:r>
            <w:proofErr w:type="spellEnd"/>
            <w:r w:rsidRPr="0037378A">
              <w:rPr>
                <w:color w:val="231F20"/>
                <w:spacing w:val="-2"/>
              </w:rPr>
              <w:t>/club, etc) — these can be traditional or contemporary.</w:t>
            </w:r>
          </w:p>
          <w:p w14:paraId="6169582B" w14:textId="77777777" w:rsidR="0037378A" w:rsidRPr="0037378A" w:rsidRDefault="0037378A" w:rsidP="0037378A">
            <w:pPr>
              <w:pStyle w:val="TableParagraph"/>
              <w:rPr>
                <w:color w:val="231F20"/>
                <w:spacing w:val="-2"/>
              </w:rPr>
            </w:pPr>
            <w:r w:rsidRPr="0037378A">
              <w:rPr>
                <w:color w:val="231F20"/>
                <w:spacing w:val="-2"/>
              </w:rPr>
              <w:t>For each design influence, students will gather a range of images (as analytical image gathering) that may include photographs, drawings or diagrams that show:</w:t>
            </w:r>
          </w:p>
          <w:p w14:paraId="216858F7" w14:textId="522EBA76" w:rsidR="0037378A" w:rsidRPr="0037378A" w:rsidRDefault="0037378A" w:rsidP="00C831A6">
            <w:pPr>
              <w:pStyle w:val="Bullet"/>
            </w:pPr>
            <w:r w:rsidRPr="0037378A">
              <w:t>the specific design influence from different viewpoints</w:t>
            </w:r>
          </w:p>
          <w:p w14:paraId="3B29D26C" w14:textId="48775A24" w:rsidR="0037378A" w:rsidRPr="0037378A" w:rsidRDefault="0037378A" w:rsidP="00C831A6">
            <w:pPr>
              <w:pStyle w:val="Bullet"/>
            </w:pPr>
            <w:r w:rsidRPr="0037378A">
              <w:t>close-up details and/or features of the design influence</w:t>
            </w:r>
          </w:p>
          <w:p w14:paraId="4E7A5924" w14:textId="4FE430C4" w:rsidR="0037378A" w:rsidRPr="0037378A" w:rsidRDefault="0037378A" w:rsidP="00C831A6">
            <w:pPr>
              <w:pStyle w:val="Bullet"/>
            </w:pPr>
            <w:r w:rsidRPr="0037378A">
              <w:t>how the design influence is constructed or assembled</w:t>
            </w:r>
          </w:p>
          <w:p w14:paraId="46BAA719" w14:textId="401B952B" w:rsidR="0037378A" w:rsidRPr="0037378A" w:rsidRDefault="0037378A" w:rsidP="00C831A6">
            <w:pPr>
              <w:pStyle w:val="Bullet"/>
            </w:pPr>
            <w:r w:rsidRPr="0037378A">
              <w:t>how the design influence is used and any protocols associated with its use</w:t>
            </w:r>
          </w:p>
          <w:p w14:paraId="01A94EF1" w14:textId="2A875AF7" w:rsidR="0037378A" w:rsidRPr="0037378A" w:rsidRDefault="0037378A" w:rsidP="00C831A6">
            <w:pPr>
              <w:pStyle w:val="Bullet"/>
            </w:pPr>
            <w:r w:rsidRPr="0037378A">
              <w:lastRenderedPageBreak/>
              <w:t>different versions of the same design influence that might vary in terms of its history, region, or style.</w:t>
            </w:r>
          </w:p>
          <w:p w14:paraId="57461365" w14:textId="77777777" w:rsidR="0037378A" w:rsidRPr="0037378A" w:rsidRDefault="0037378A" w:rsidP="0037378A">
            <w:pPr>
              <w:pStyle w:val="TableParagraph"/>
              <w:rPr>
                <w:color w:val="231F20"/>
                <w:spacing w:val="-2"/>
              </w:rPr>
            </w:pPr>
          </w:p>
          <w:p w14:paraId="346B2D14" w14:textId="77777777" w:rsidR="00D860EA" w:rsidRDefault="0037378A" w:rsidP="00B0681A">
            <w:pPr>
              <w:pStyle w:val="TableParagraph"/>
            </w:pPr>
            <w:r w:rsidRPr="0037378A">
              <w:t>It is important to consider tikanga Māori to ensure authentic, respectful, and responsible use of design ideas from te ao Māori. Students will acknowledge any sources used when investigating design influences.</w:t>
            </w:r>
          </w:p>
          <w:p w14:paraId="2514AB3C" w14:textId="77777777" w:rsidR="00442A95" w:rsidRDefault="00442A95" w:rsidP="00B0681A">
            <w:pPr>
              <w:pStyle w:val="TableParagraph"/>
            </w:pPr>
          </w:p>
          <w:p w14:paraId="1AF2FC1D" w14:textId="77777777" w:rsidR="00CE3DA4" w:rsidRPr="00B22396" w:rsidRDefault="00CE3DA4" w:rsidP="00CE3DA4">
            <w:pPr>
              <w:pStyle w:val="Heading5"/>
            </w:pPr>
            <w:r w:rsidRPr="00B22396">
              <w:t>Project one — part two: Generating sculptural forms</w:t>
            </w:r>
          </w:p>
          <w:p w14:paraId="76BEA74B" w14:textId="77777777" w:rsidR="00CE3DA4" w:rsidRPr="00B22396" w:rsidRDefault="00CE3DA4" w:rsidP="00CE3DA4">
            <w:pPr>
              <w:pStyle w:val="Heading6"/>
            </w:pPr>
            <w:r w:rsidRPr="00B22396">
              <w:rPr>
                <w:bCs/>
              </w:rPr>
              <w:t>Activity: S</w:t>
            </w:r>
            <w:r w:rsidRPr="00B22396">
              <w:t xml:space="preserve">tudents will generate a range of preliminary ideas that respond to different aspects of the visual qualities of the </w:t>
            </w:r>
            <w:r w:rsidRPr="00B22396">
              <w:rPr>
                <w:bCs/>
              </w:rPr>
              <w:t>design influences</w:t>
            </w:r>
            <w:r w:rsidRPr="00B22396">
              <w:t xml:space="preserve"> researched. </w:t>
            </w:r>
          </w:p>
          <w:p w14:paraId="0B24E262" w14:textId="77777777" w:rsidR="00CE3DA4" w:rsidRDefault="00CE3DA4" w:rsidP="006C59CF">
            <w:pPr>
              <w:pStyle w:val="Heading6"/>
              <w:spacing w:after="120"/>
              <w:rPr>
                <w:b w:val="0"/>
                <w:bCs/>
              </w:rPr>
            </w:pPr>
            <w:r w:rsidRPr="00CE3DA4">
              <w:rPr>
                <w:b w:val="0"/>
                <w:bCs/>
              </w:rPr>
              <w:t>Duration — 2 weeks</w:t>
            </w:r>
          </w:p>
          <w:p w14:paraId="1F9C0149" w14:textId="77777777" w:rsidR="00AA6617" w:rsidRPr="00B60202" w:rsidRDefault="00AA6617" w:rsidP="00AA6617">
            <w:pPr>
              <w:pStyle w:val="TableParagraph"/>
              <w:rPr>
                <w:color w:val="231F20"/>
              </w:rPr>
            </w:pPr>
            <w:r w:rsidRPr="00B60202">
              <w:rPr>
                <w:color w:val="231F20"/>
              </w:rPr>
              <w:t>These ideas are intended to be exploratory and not necessarily functional or purposeful at this stage. Generating ideas can include exploring aspects of form (3D), shape (2D), pattern, texture, colour, material, surface finish, etc, and can be done through any of the following visual communication techniques:</w:t>
            </w:r>
          </w:p>
          <w:p w14:paraId="3EEA2137" w14:textId="77777777" w:rsidR="00AA6617" w:rsidRPr="00B60202" w:rsidRDefault="00AA6617" w:rsidP="00AA6617">
            <w:pPr>
              <w:pStyle w:val="Bullet"/>
            </w:pPr>
            <w:r w:rsidRPr="00B60202">
              <w:t>Paper sculptures that are documented though a set of photographs.</w:t>
            </w:r>
          </w:p>
          <w:p w14:paraId="370910B3" w14:textId="77777777" w:rsidR="00AA6617" w:rsidRPr="00B60202" w:rsidRDefault="00AA6617" w:rsidP="00AA6617">
            <w:pPr>
              <w:pStyle w:val="Bullet"/>
            </w:pPr>
            <w:r w:rsidRPr="00B60202">
              <w:t>A series of quick exploratory sketches that can be generated though a range of strategies such as rapid vis, tracings, blind drawing, mixed media, etc. They can be either 2D or 3D or a combination.</w:t>
            </w:r>
          </w:p>
          <w:p w14:paraId="71D27512" w14:textId="77777777" w:rsidR="00AA6617" w:rsidRDefault="00AA6617" w:rsidP="00AA6617">
            <w:pPr>
              <w:pStyle w:val="Bullet"/>
            </w:pPr>
            <w:r w:rsidRPr="00B60202">
              <w:t>Simple or abstract SketchUp models that are documented through images that show the idea from different viewpoints.</w:t>
            </w:r>
          </w:p>
          <w:p w14:paraId="1188E397" w14:textId="77777777" w:rsidR="004B767E" w:rsidRPr="004B767E" w:rsidRDefault="004B767E" w:rsidP="0027786B">
            <w:pPr>
              <w:pStyle w:val="TableParagraph"/>
            </w:pPr>
          </w:p>
          <w:p w14:paraId="53620E32" w14:textId="44CF92AB" w:rsidR="00D87709" w:rsidRPr="00B22396" w:rsidRDefault="00D87709" w:rsidP="00D87709">
            <w:pPr>
              <w:pStyle w:val="Heading5"/>
            </w:pPr>
            <w:r w:rsidRPr="00B22396">
              <w:t xml:space="preserve">Project one </w:t>
            </w:r>
            <w:r w:rsidR="00EC21C3" w:rsidRPr="00EC21C3">
              <w:rPr>
                <w:bCs/>
              </w:rPr>
              <w:t>—</w:t>
            </w:r>
            <w:r w:rsidRPr="00B22396">
              <w:t xml:space="preserve"> part three: Generating, experimenting, extending </w:t>
            </w:r>
            <w:r w:rsidR="00BB6CD5">
              <w:t xml:space="preserve">inviting space </w:t>
            </w:r>
            <w:r w:rsidRPr="00B22396">
              <w:t>ideas</w:t>
            </w:r>
          </w:p>
          <w:p w14:paraId="73C77040" w14:textId="1C4E71BB" w:rsidR="00D87709" w:rsidRPr="00B22396" w:rsidRDefault="00D87709" w:rsidP="00D87709">
            <w:pPr>
              <w:pStyle w:val="Heading6"/>
            </w:pPr>
            <w:r w:rsidRPr="00B22396">
              <w:t xml:space="preserve">Activity: Students will explore alternative </w:t>
            </w:r>
            <w:r w:rsidR="000F248A" w:rsidRPr="00CD164C">
              <w:t>inviting spaces</w:t>
            </w:r>
            <w:r w:rsidR="00CD164C">
              <w:t xml:space="preserve"> </w:t>
            </w:r>
            <w:r w:rsidRPr="00CD164C">
              <w:t>design</w:t>
            </w:r>
            <w:r w:rsidRPr="00B22396">
              <w:t xml:space="preserve"> ideas considering a design influence from te ao Māori and one other design influence.</w:t>
            </w:r>
          </w:p>
          <w:p w14:paraId="452A2A28" w14:textId="77777777" w:rsidR="00D87709" w:rsidRDefault="00D87709" w:rsidP="002D76C7">
            <w:pPr>
              <w:pStyle w:val="Heading6"/>
              <w:spacing w:after="120"/>
              <w:rPr>
                <w:b w:val="0"/>
                <w:bCs/>
              </w:rPr>
            </w:pPr>
            <w:r w:rsidRPr="00D87709">
              <w:rPr>
                <w:b w:val="0"/>
                <w:bCs/>
              </w:rPr>
              <w:t>Duration — 4 weeks</w:t>
            </w:r>
          </w:p>
          <w:p w14:paraId="129E5CC2" w14:textId="77777777" w:rsidR="003A3E50" w:rsidRPr="00B60202" w:rsidRDefault="003A3E50" w:rsidP="003A3E50">
            <w:pPr>
              <w:pStyle w:val="TableParagraph"/>
              <w:rPr>
                <w:color w:val="231F20"/>
              </w:rPr>
            </w:pPr>
            <w:r w:rsidRPr="00B60202">
              <w:rPr>
                <w:color w:val="231F20"/>
              </w:rPr>
              <w:t xml:space="preserve">Students will: </w:t>
            </w:r>
          </w:p>
          <w:p w14:paraId="60593745" w14:textId="7C9F87C4" w:rsidR="003A3E50" w:rsidRPr="00B60202" w:rsidRDefault="003A3E50" w:rsidP="003A3E50">
            <w:pPr>
              <w:pStyle w:val="Bullet"/>
            </w:pPr>
            <w:r w:rsidRPr="00B60202">
              <w:t>incorporate the various elements and features (</w:t>
            </w:r>
            <w:r>
              <w:t>aesthetic</w:t>
            </w:r>
            <w:r w:rsidR="254D5359">
              <w:t>s, function,</w:t>
            </w:r>
            <w:r w:rsidR="008E7B76">
              <w:t xml:space="preserve"> or both</w:t>
            </w:r>
            <w:r w:rsidRPr="00B60202">
              <w:t>) in different and creative ways that may lead towards a potential</w:t>
            </w:r>
            <w:r w:rsidR="00CD164C">
              <w:t xml:space="preserve"> </w:t>
            </w:r>
            <w:r w:rsidR="00927461" w:rsidRPr="00CD164C">
              <w:t>inviting space</w:t>
            </w:r>
            <w:r w:rsidR="00927461">
              <w:t xml:space="preserve"> </w:t>
            </w:r>
            <w:r w:rsidRPr="00B60202">
              <w:t>design</w:t>
            </w:r>
          </w:p>
          <w:p w14:paraId="59AA4621" w14:textId="77777777" w:rsidR="003A3E50" w:rsidRPr="00B60202" w:rsidRDefault="003A3E50" w:rsidP="003A3E50">
            <w:pPr>
              <w:pStyle w:val="Bullet"/>
            </w:pPr>
            <w:r w:rsidRPr="00B60202">
              <w:t xml:space="preserve">consider the appropriateness to te ao Māori and other design influences </w:t>
            </w:r>
          </w:p>
          <w:p w14:paraId="745147B0" w14:textId="1B4CE131" w:rsidR="003A3E50" w:rsidRPr="00B60202" w:rsidRDefault="003A3E50" w:rsidP="003A3E50">
            <w:pPr>
              <w:pStyle w:val="Bullet"/>
            </w:pPr>
            <w:r w:rsidRPr="00B60202">
              <w:t xml:space="preserve">explore how </w:t>
            </w:r>
            <w:r w:rsidR="00CD164C">
              <w:t>the</w:t>
            </w:r>
            <w:r w:rsidRPr="00B60202">
              <w:t xml:space="preserve"> </w:t>
            </w:r>
            <w:r w:rsidR="003273A0" w:rsidRPr="00CD164C">
              <w:t>inviting space</w:t>
            </w:r>
            <w:r w:rsidR="003273A0">
              <w:t xml:space="preserve"> </w:t>
            </w:r>
            <w:r w:rsidRPr="00B60202">
              <w:t>will be used by people. Consider</w:t>
            </w:r>
            <w:r w:rsidR="00097EE2" w:rsidRPr="00CD164C">
              <w:t xml:space="preserve"> its purpose</w:t>
            </w:r>
            <w:r w:rsidR="00097EE2">
              <w:t xml:space="preserve">, </w:t>
            </w:r>
            <w:r w:rsidR="00097EE2" w:rsidRPr="00CD164C">
              <w:t>such as a sensory garden, picnic grove</w:t>
            </w:r>
            <w:r w:rsidR="00B1086B">
              <w:t>,</w:t>
            </w:r>
            <w:r w:rsidR="00097EE2" w:rsidRPr="00CD164C">
              <w:t xml:space="preserve"> or meditation nook</w:t>
            </w:r>
            <w:r w:rsidRPr="00B60202">
              <w:t>. Consider if it is moveable or fixed.</w:t>
            </w:r>
          </w:p>
          <w:p w14:paraId="6D3813C2" w14:textId="551A2580" w:rsidR="003A3E50" w:rsidRPr="00B60202" w:rsidRDefault="003A3E50" w:rsidP="003A3E50">
            <w:pPr>
              <w:pStyle w:val="Bullet"/>
            </w:pPr>
            <w:r w:rsidRPr="00B60202">
              <w:t xml:space="preserve">explore how the </w:t>
            </w:r>
            <w:r w:rsidR="00097EE2" w:rsidRPr="00CD164C">
              <w:t>inviting space</w:t>
            </w:r>
            <w:r w:rsidR="00BD2B46">
              <w:t xml:space="preserve"> will</w:t>
            </w:r>
            <w:r w:rsidR="00097EE2">
              <w:t xml:space="preserve"> </w:t>
            </w:r>
            <w:r w:rsidRPr="00B60202">
              <w:t>be set in its environment. Consider if it will blend in with its surroundings or make a visual statement. Consider if it will be suitable for the outdoors in terms of its durability and think about how it is positioned in relation to a view.</w:t>
            </w:r>
          </w:p>
          <w:p w14:paraId="66CBA475" w14:textId="77777777" w:rsidR="001633B6" w:rsidRDefault="001633B6" w:rsidP="001633B6">
            <w:pPr>
              <w:pStyle w:val="Bullet"/>
              <w:numPr>
                <w:ilvl w:val="0"/>
                <w:numId w:val="0"/>
              </w:numPr>
              <w:ind w:left="227"/>
            </w:pPr>
          </w:p>
          <w:p w14:paraId="1B5AFE2D" w14:textId="08274D42" w:rsidR="003A3E50" w:rsidRDefault="003A3E50" w:rsidP="004123C7">
            <w:pPr>
              <w:pStyle w:val="TableParagraph"/>
            </w:pPr>
            <w:r w:rsidRPr="00B60202">
              <w:t>Modes of visual communication that students can use include design sketches, physical models, digital models, or any combination of these, and they can use any range of techniques such as tracing, photography, collage, etc.</w:t>
            </w:r>
          </w:p>
          <w:p w14:paraId="66535258" w14:textId="77777777" w:rsidR="00544E4E" w:rsidRPr="00B60202" w:rsidRDefault="00544E4E" w:rsidP="00A96A03">
            <w:pPr>
              <w:pStyle w:val="TableParagraph"/>
            </w:pPr>
          </w:p>
          <w:p w14:paraId="0F185539" w14:textId="5F1F112D" w:rsidR="00442A95" w:rsidRDefault="003A3E50" w:rsidP="00683979">
            <w:pPr>
              <w:pStyle w:val="Subtitle"/>
            </w:pPr>
            <w:r w:rsidRPr="00DB2AF5">
              <w:rPr>
                <w:rStyle w:val="cf01"/>
                <w:rFonts w:ascii="Arial" w:hAnsi="Arial" w:cs="Arial"/>
                <w:sz w:val="22"/>
                <w:szCs w:val="22"/>
              </w:rPr>
              <w:t xml:space="preserve">Learning covered will provide opportunities to collect evidence towards AS 92000 (1.1) </w:t>
            </w:r>
            <w:r w:rsidRPr="00DB2AF5">
              <w:rPr>
                <w:rFonts w:cs="Arial"/>
              </w:rPr>
              <w:t>Generate product or spatial design ideas using visual communication techniques in response to design influences.</w:t>
            </w:r>
          </w:p>
        </w:tc>
      </w:tr>
      <w:tr w:rsidR="002F568C" w14:paraId="63196618" w14:textId="77777777">
        <w:tc>
          <w:tcPr>
            <w:tcW w:w="8931" w:type="dxa"/>
            <w:tcBorders>
              <w:top w:val="single" w:sz="4" w:space="0" w:color="A1561C" w:themeColor="accent6"/>
              <w:right w:val="single" w:sz="4" w:space="0" w:color="A1561C" w:themeColor="accent6"/>
            </w:tcBorders>
          </w:tcPr>
          <w:p w14:paraId="7A3E153F" w14:textId="77777777" w:rsidR="002F568C" w:rsidRDefault="002F568C">
            <w:pPr>
              <w:pStyle w:val="Heading6"/>
            </w:pPr>
          </w:p>
        </w:tc>
        <w:tc>
          <w:tcPr>
            <w:tcW w:w="12947" w:type="dxa"/>
            <w:tcBorders>
              <w:top w:val="single" w:sz="4" w:space="0" w:color="A1561C" w:themeColor="accent6"/>
              <w:left w:val="single" w:sz="4" w:space="0" w:color="A1561C" w:themeColor="accent6"/>
            </w:tcBorders>
          </w:tcPr>
          <w:p w14:paraId="3B0C0387" w14:textId="3B28C591" w:rsidR="00BF0687" w:rsidRPr="00FE5785" w:rsidRDefault="00BF0687" w:rsidP="00BF0687">
            <w:pPr>
              <w:pStyle w:val="Heading5"/>
            </w:pPr>
            <w:r w:rsidRPr="00FE5785">
              <w:t xml:space="preserve">Project two </w:t>
            </w:r>
            <w:r w:rsidR="00EC21C3" w:rsidRPr="00EC21C3">
              <w:rPr>
                <w:bCs/>
              </w:rPr>
              <w:t>—</w:t>
            </w:r>
            <w:r w:rsidRPr="00FE5785">
              <w:t xml:space="preserve"> part one: Shade structure design</w:t>
            </w:r>
          </w:p>
          <w:p w14:paraId="56F02C41" w14:textId="77777777" w:rsidR="00BF0687" w:rsidRPr="00FE5785" w:rsidRDefault="00BF0687" w:rsidP="00BF0687">
            <w:pPr>
              <w:pStyle w:val="Heading6"/>
            </w:pPr>
            <w:r w:rsidRPr="00FE5785">
              <w:t>Activity: Students will generate at least two different initial design ideas for a shade structure design for a specified outdoor area they have identified.</w:t>
            </w:r>
          </w:p>
          <w:p w14:paraId="4987356D" w14:textId="103F409C" w:rsidR="002F568C" w:rsidRDefault="00BF0687" w:rsidP="00586CAD">
            <w:pPr>
              <w:pStyle w:val="Heading6"/>
              <w:spacing w:after="120"/>
            </w:pPr>
            <w:r w:rsidRPr="00A35FA6">
              <w:rPr>
                <w:b w:val="0"/>
                <w:bCs/>
              </w:rPr>
              <w:lastRenderedPageBreak/>
              <w:t>Duration — 2 weeks</w:t>
            </w:r>
          </w:p>
        </w:tc>
      </w:tr>
      <w:tr w:rsidR="002F568C" w14:paraId="2DA9142C" w14:textId="77777777">
        <w:tc>
          <w:tcPr>
            <w:tcW w:w="8931" w:type="dxa"/>
            <w:tcBorders>
              <w:bottom w:val="single" w:sz="4" w:space="0" w:color="A1561C" w:themeColor="accent6"/>
              <w:right w:val="single" w:sz="4" w:space="0" w:color="A1561C" w:themeColor="accent6"/>
            </w:tcBorders>
          </w:tcPr>
          <w:p w14:paraId="3DAAAC21" w14:textId="0282B7C1" w:rsidR="00683979" w:rsidRPr="00B60202" w:rsidRDefault="00683979" w:rsidP="00683979">
            <w:pPr>
              <w:pStyle w:val="Bullet"/>
            </w:pPr>
            <w:r w:rsidRPr="00B60202">
              <w:lastRenderedPageBreak/>
              <w:t>Understand and use the design principles of aesthetics and function in own design thinking</w:t>
            </w:r>
          </w:p>
          <w:p w14:paraId="579A53D1" w14:textId="77777777" w:rsidR="00683979" w:rsidRPr="00B60202" w:rsidRDefault="00683979" w:rsidP="00683979">
            <w:pPr>
              <w:pStyle w:val="Bullet"/>
            </w:pPr>
            <w:r w:rsidRPr="00B60202">
              <w:t>Use both divergent and convergent thinking in developing design outcomes</w:t>
            </w:r>
          </w:p>
          <w:p w14:paraId="2C2CA4D6" w14:textId="202B66ED" w:rsidR="00683979" w:rsidRPr="00B60202" w:rsidRDefault="00683979" w:rsidP="00210245">
            <w:pPr>
              <w:pStyle w:val="Bullet"/>
            </w:pPr>
            <w:r w:rsidRPr="00B60202">
              <w:t>Develop visual skills and techniques for generating and exploring design ideas</w:t>
            </w:r>
          </w:p>
          <w:p w14:paraId="47BC632F" w14:textId="77777777" w:rsidR="00683979" w:rsidRPr="00B60202" w:rsidRDefault="00683979" w:rsidP="00683979">
            <w:pPr>
              <w:pStyle w:val="Bullet"/>
            </w:pPr>
            <w:r w:rsidRPr="00B60202">
              <w:t>Develop visual skills and instrumental techniques to communicate details of design ideas and outcomes</w:t>
            </w:r>
          </w:p>
          <w:p w14:paraId="2135D9D1" w14:textId="77777777" w:rsidR="00683979" w:rsidRPr="00B60202" w:rsidRDefault="00683979" w:rsidP="00683979">
            <w:pPr>
              <w:pStyle w:val="Bullet"/>
            </w:pPr>
            <w:r w:rsidRPr="00B60202">
              <w:t>Develop good practice in the attribution and acknowledgement of sources when using third-party content</w:t>
            </w:r>
          </w:p>
          <w:p w14:paraId="11B5EB93" w14:textId="77777777" w:rsidR="00683979" w:rsidRDefault="00683979" w:rsidP="00F02239">
            <w:pPr>
              <w:pStyle w:val="Bullet"/>
            </w:pPr>
            <w:r w:rsidRPr="00B60202">
              <w:t>Engage with decision-making that is connected to people, places, cultures, and design knowledge in developing design outcomes</w:t>
            </w:r>
          </w:p>
          <w:p w14:paraId="2ABF52C6" w14:textId="77777777" w:rsidR="00CF4BC8" w:rsidRDefault="00CF4BC8" w:rsidP="00CF4BC8">
            <w:pPr>
              <w:pStyle w:val="Bullet"/>
              <w:numPr>
                <w:ilvl w:val="0"/>
                <w:numId w:val="0"/>
              </w:numPr>
              <w:ind w:left="454" w:hanging="227"/>
            </w:pPr>
          </w:p>
          <w:p w14:paraId="4333B73E" w14:textId="77777777" w:rsidR="00CF4BC8" w:rsidRDefault="00CF4BC8" w:rsidP="00CF4BC8">
            <w:pPr>
              <w:pStyle w:val="Bullet"/>
              <w:numPr>
                <w:ilvl w:val="0"/>
                <w:numId w:val="0"/>
              </w:numPr>
              <w:ind w:left="454" w:hanging="227"/>
            </w:pPr>
          </w:p>
          <w:p w14:paraId="3855ABE3" w14:textId="77777777" w:rsidR="00CF4BC8" w:rsidRDefault="00CF4BC8" w:rsidP="00CF4BC8">
            <w:pPr>
              <w:pStyle w:val="Bullet"/>
              <w:numPr>
                <w:ilvl w:val="0"/>
                <w:numId w:val="0"/>
              </w:numPr>
              <w:ind w:left="454" w:hanging="227"/>
            </w:pPr>
          </w:p>
          <w:p w14:paraId="14A3828C" w14:textId="77777777" w:rsidR="00EA58C3" w:rsidRDefault="00EA58C3" w:rsidP="00EA58C3">
            <w:pPr>
              <w:pStyle w:val="Bullet"/>
              <w:numPr>
                <w:ilvl w:val="0"/>
                <w:numId w:val="0"/>
              </w:numPr>
            </w:pPr>
          </w:p>
          <w:p w14:paraId="7D2886F0" w14:textId="77777777" w:rsidR="00CF4BC8" w:rsidRDefault="00CF4BC8" w:rsidP="00CF4BC8">
            <w:pPr>
              <w:pStyle w:val="Bullet"/>
              <w:numPr>
                <w:ilvl w:val="0"/>
                <w:numId w:val="0"/>
              </w:numPr>
              <w:ind w:left="454" w:hanging="227"/>
            </w:pPr>
          </w:p>
          <w:p w14:paraId="6B687266" w14:textId="77777777" w:rsidR="00CF4BC8" w:rsidRDefault="00CF4BC8" w:rsidP="00EA58C3">
            <w:pPr>
              <w:pStyle w:val="Bullet"/>
              <w:numPr>
                <w:ilvl w:val="0"/>
                <w:numId w:val="0"/>
              </w:numPr>
              <w:spacing w:before="0" w:after="0"/>
              <w:ind w:left="454" w:hanging="227"/>
            </w:pPr>
          </w:p>
          <w:p w14:paraId="4393B906" w14:textId="77777777" w:rsidR="006C561E" w:rsidRDefault="006C561E" w:rsidP="00EA58C3">
            <w:pPr>
              <w:pStyle w:val="Bullet"/>
              <w:numPr>
                <w:ilvl w:val="0"/>
                <w:numId w:val="0"/>
              </w:numPr>
              <w:spacing w:before="0" w:after="0"/>
              <w:ind w:left="454" w:hanging="227"/>
            </w:pPr>
          </w:p>
          <w:p w14:paraId="5F65CAA9" w14:textId="77777777" w:rsidR="00EA58C3" w:rsidRDefault="00EA58C3" w:rsidP="00226EA1">
            <w:pPr>
              <w:pStyle w:val="Bullet"/>
              <w:numPr>
                <w:ilvl w:val="0"/>
                <w:numId w:val="0"/>
              </w:numPr>
              <w:spacing w:before="60" w:after="0"/>
              <w:ind w:left="454" w:hanging="227"/>
            </w:pPr>
          </w:p>
          <w:p w14:paraId="034FCD81" w14:textId="77777777" w:rsidR="00CF4BC8" w:rsidRDefault="00CF4BC8" w:rsidP="00CF4BC8">
            <w:pPr>
              <w:pStyle w:val="Bullet"/>
            </w:pPr>
            <w:r w:rsidRPr="00B60202">
              <w:t>Understand that the purpose of design is to enhance people’s lives and their environments using aspects of kaitiakitanga, hauora, alofa, and empathy</w:t>
            </w:r>
          </w:p>
          <w:p w14:paraId="5AEEE2D2" w14:textId="77777777" w:rsidR="00CF4BC8" w:rsidRDefault="00CF4BC8" w:rsidP="00EA58C3">
            <w:pPr>
              <w:pStyle w:val="Bullet"/>
              <w:numPr>
                <w:ilvl w:val="0"/>
                <w:numId w:val="0"/>
              </w:numPr>
              <w:spacing w:before="0"/>
              <w:ind w:left="454" w:hanging="227"/>
            </w:pPr>
          </w:p>
          <w:p w14:paraId="7144E2B0" w14:textId="77777777" w:rsidR="000E538E" w:rsidRDefault="000E538E" w:rsidP="00EA58C3">
            <w:pPr>
              <w:pStyle w:val="Bullet"/>
              <w:numPr>
                <w:ilvl w:val="0"/>
                <w:numId w:val="0"/>
              </w:numPr>
              <w:spacing w:before="0"/>
              <w:ind w:left="454" w:hanging="227"/>
            </w:pPr>
          </w:p>
          <w:p w14:paraId="38224DBD" w14:textId="77777777" w:rsidR="000E538E" w:rsidRDefault="000E538E" w:rsidP="00EA58C3">
            <w:pPr>
              <w:pStyle w:val="Bullet"/>
              <w:numPr>
                <w:ilvl w:val="0"/>
                <w:numId w:val="0"/>
              </w:numPr>
              <w:spacing w:before="0"/>
              <w:ind w:left="454" w:hanging="227"/>
            </w:pPr>
          </w:p>
          <w:p w14:paraId="6FDA205B" w14:textId="77777777" w:rsidR="000E538E" w:rsidRDefault="000E538E" w:rsidP="00EA58C3">
            <w:pPr>
              <w:pStyle w:val="Bullet"/>
              <w:numPr>
                <w:ilvl w:val="0"/>
                <w:numId w:val="0"/>
              </w:numPr>
              <w:spacing w:before="0"/>
              <w:ind w:left="454" w:hanging="227"/>
            </w:pPr>
          </w:p>
          <w:p w14:paraId="23FBB189" w14:textId="77777777" w:rsidR="000E538E" w:rsidRDefault="000E538E" w:rsidP="00EA58C3">
            <w:pPr>
              <w:pStyle w:val="Bullet"/>
              <w:numPr>
                <w:ilvl w:val="0"/>
                <w:numId w:val="0"/>
              </w:numPr>
              <w:spacing w:before="0"/>
              <w:ind w:left="454" w:hanging="227"/>
            </w:pPr>
          </w:p>
          <w:p w14:paraId="0B46103C" w14:textId="77777777" w:rsidR="000E538E" w:rsidRDefault="000E538E" w:rsidP="00EA58C3">
            <w:pPr>
              <w:pStyle w:val="Bullet"/>
              <w:numPr>
                <w:ilvl w:val="0"/>
                <w:numId w:val="0"/>
              </w:numPr>
              <w:spacing w:before="0"/>
              <w:ind w:left="454" w:hanging="227"/>
            </w:pPr>
          </w:p>
          <w:p w14:paraId="312D6848" w14:textId="77777777" w:rsidR="000E538E" w:rsidRDefault="000E538E" w:rsidP="00EA58C3">
            <w:pPr>
              <w:pStyle w:val="Bullet"/>
              <w:numPr>
                <w:ilvl w:val="0"/>
                <w:numId w:val="0"/>
              </w:numPr>
              <w:spacing w:before="0"/>
              <w:ind w:left="454" w:hanging="227"/>
            </w:pPr>
          </w:p>
          <w:p w14:paraId="2B003A23" w14:textId="77777777" w:rsidR="000E538E" w:rsidRDefault="000E538E" w:rsidP="00A345E9">
            <w:pPr>
              <w:pStyle w:val="Bullet"/>
              <w:numPr>
                <w:ilvl w:val="0"/>
                <w:numId w:val="0"/>
              </w:numPr>
              <w:spacing w:before="0" w:after="0"/>
              <w:ind w:left="454" w:hanging="227"/>
            </w:pPr>
          </w:p>
          <w:p w14:paraId="4FB26FE5" w14:textId="77777777" w:rsidR="000E538E" w:rsidRDefault="000E538E" w:rsidP="00A345E9">
            <w:pPr>
              <w:pStyle w:val="Bullet"/>
              <w:numPr>
                <w:ilvl w:val="0"/>
                <w:numId w:val="0"/>
              </w:numPr>
              <w:spacing w:before="0" w:after="0"/>
              <w:ind w:left="454" w:hanging="227"/>
            </w:pPr>
          </w:p>
          <w:p w14:paraId="19F27DDA" w14:textId="77777777" w:rsidR="000E538E" w:rsidRDefault="000E538E" w:rsidP="00A345E9">
            <w:pPr>
              <w:pStyle w:val="Bullet"/>
              <w:numPr>
                <w:ilvl w:val="0"/>
                <w:numId w:val="0"/>
              </w:numPr>
              <w:ind w:left="454" w:hanging="227"/>
            </w:pPr>
          </w:p>
          <w:p w14:paraId="5F3A438B" w14:textId="77777777" w:rsidR="000E538E" w:rsidRDefault="000E538E" w:rsidP="00EA58C3">
            <w:pPr>
              <w:pStyle w:val="Bullet"/>
              <w:numPr>
                <w:ilvl w:val="0"/>
                <w:numId w:val="0"/>
              </w:numPr>
              <w:spacing w:before="0"/>
              <w:ind w:left="454" w:hanging="227"/>
            </w:pPr>
          </w:p>
          <w:p w14:paraId="1E7F7152" w14:textId="77777777" w:rsidR="00EA58C3" w:rsidRDefault="00EA58C3" w:rsidP="00A345E9">
            <w:pPr>
              <w:pStyle w:val="Bullet"/>
              <w:numPr>
                <w:ilvl w:val="0"/>
                <w:numId w:val="0"/>
              </w:numPr>
              <w:spacing w:before="0" w:after="0"/>
              <w:ind w:left="454" w:hanging="227"/>
            </w:pPr>
          </w:p>
          <w:p w14:paraId="0169368B" w14:textId="77777777" w:rsidR="00EA58C3" w:rsidRDefault="00EA58C3" w:rsidP="00A345E9">
            <w:pPr>
              <w:pStyle w:val="Bullet"/>
              <w:numPr>
                <w:ilvl w:val="0"/>
                <w:numId w:val="0"/>
              </w:numPr>
              <w:spacing w:before="0" w:after="0"/>
              <w:ind w:left="454" w:hanging="227"/>
            </w:pPr>
          </w:p>
          <w:p w14:paraId="62DB069B" w14:textId="77777777" w:rsidR="000E538E" w:rsidRDefault="000E538E" w:rsidP="00226EA1">
            <w:pPr>
              <w:pStyle w:val="Bullet"/>
              <w:numPr>
                <w:ilvl w:val="0"/>
                <w:numId w:val="0"/>
              </w:numPr>
              <w:spacing w:before="0" w:after="40"/>
            </w:pPr>
          </w:p>
          <w:p w14:paraId="696BC801" w14:textId="77777777" w:rsidR="003C0372" w:rsidRDefault="003C0372" w:rsidP="003C0372">
            <w:pPr>
              <w:pStyle w:val="Bullet"/>
              <w:numPr>
                <w:ilvl w:val="0"/>
                <w:numId w:val="0"/>
              </w:numPr>
            </w:pPr>
          </w:p>
          <w:p w14:paraId="079945AC" w14:textId="77777777" w:rsidR="000E538E" w:rsidRPr="00B60202" w:rsidRDefault="000E538E" w:rsidP="000E538E">
            <w:pPr>
              <w:pStyle w:val="Bullet"/>
            </w:pPr>
            <w:r w:rsidRPr="00B60202">
              <w:t>Develop the practice of generating design ideas that explore possibilities beyond first thoughts</w:t>
            </w:r>
          </w:p>
          <w:p w14:paraId="55AA6DDE" w14:textId="72D6FC98" w:rsidR="000E538E" w:rsidRDefault="000E538E" w:rsidP="00CF4BC8">
            <w:pPr>
              <w:pStyle w:val="Bullet"/>
              <w:numPr>
                <w:ilvl w:val="0"/>
                <w:numId w:val="0"/>
              </w:numPr>
              <w:ind w:left="454" w:hanging="227"/>
            </w:pPr>
          </w:p>
        </w:tc>
        <w:tc>
          <w:tcPr>
            <w:tcW w:w="12947" w:type="dxa"/>
            <w:tcBorders>
              <w:left w:val="single" w:sz="4" w:space="0" w:color="A1561C" w:themeColor="accent6"/>
              <w:bottom w:val="single" w:sz="4" w:space="0" w:color="A1561C" w:themeColor="accent6"/>
            </w:tcBorders>
          </w:tcPr>
          <w:p w14:paraId="0A5A4519" w14:textId="77777777" w:rsidR="00785DB0" w:rsidRPr="00B60202" w:rsidRDefault="00785DB0" w:rsidP="00785DB0">
            <w:pPr>
              <w:pStyle w:val="TableParagraph"/>
            </w:pPr>
            <w:r w:rsidRPr="00B60202">
              <w:lastRenderedPageBreak/>
              <w:t>Students will:</w:t>
            </w:r>
          </w:p>
          <w:p w14:paraId="44197492" w14:textId="5C5EB356" w:rsidR="00785DB0" w:rsidRPr="00FE5785" w:rsidRDefault="00785DB0" w:rsidP="00785DB0">
            <w:pPr>
              <w:pStyle w:val="Bullet"/>
            </w:pPr>
            <w:r w:rsidRPr="00FE5785">
              <w:t xml:space="preserve">use ideas that are inspired by elements from project one </w:t>
            </w:r>
            <w:r w:rsidR="00B10E90" w:rsidRPr="00CD164C">
              <w:t>(</w:t>
            </w:r>
            <w:r w:rsidR="00CD164C">
              <w:t>I</w:t>
            </w:r>
            <w:r w:rsidR="00B10E90" w:rsidRPr="00CD164C">
              <w:t xml:space="preserve">nviting </w:t>
            </w:r>
            <w:r w:rsidR="00CD164C">
              <w:t>S</w:t>
            </w:r>
            <w:r w:rsidR="00B10E90" w:rsidRPr="00CD164C">
              <w:t>paces)</w:t>
            </w:r>
          </w:p>
          <w:p w14:paraId="1F99F07D" w14:textId="77777777" w:rsidR="00785DB0" w:rsidRPr="00FE5785" w:rsidRDefault="00785DB0" w:rsidP="00785DB0">
            <w:pPr>
              <w:pStyle w:val="Bullet"/>
            </w:pPr>
            <w:r w:rsidRPr="00FE5785">
              <w:t>use ideas that are inspired by elements from famous buildings such as:</w:t>
            </w:r>
          </w:p>
          <w:p w14:paraId="6FABB104" w14:textId="77777777" w:rsidR="00785DB0" w:rsidRPr="00FE5785" w:rsidRDefault="00785DB0" w:rsidP="00BE3FC0">
            <w:pPr>
              <w:pStyle w:val="BulletLevel2"/>
            </w:pPr>
            <w:r w:rsidRPr="00FE5785">
              <w:t>4 x 4 House — Tadao Ando</w:t>
            </w:r>
          </w:p>
          <w:p w14:paraId="28B2DCD7" w14:textId="77777777" w:rsidR="00785DB0" w:rsidRPr="00FE5785" w:rsidRDefault="00785DB0" w:rsidP="00BE3FC0">
            <w:pPr>
              <w:pStyle w:val="BulletLevel2"/>
            </w:pPr>
            <w:r w:rsidRPr="00FE5785">
              <w:t>Barcelona Pavilion — Mies van der Rohe</w:t>
            </w:r>
          </w:p>
          <w:p w14:paraId="70CEFDA4" w14:textId="77777777" w:rsidR="00785DB0" w:rsidRPr="00FE5785" w:rsidRDefault="00785DB0" w:rsidP="00BE3FC0">
            <w:pPr>
              <w:pStyle w:val="BulletLevel2"/>
            </w:pPr>
            <w:r w:rsidRPr="00FE5785">
              <w:t>Christchurch Transitional ‘Cardboard’ Cathedral — Shigeru Ban.</w:t>
            </w:r>
          </w:p>
          <w:p w14:paraId="4FE57F1A" w14:textId="77777777" w:rsidR="00785DB0" w:rsidRPr="00FE5785" w:rsidRDefault="00785DB0" w:rsidP="00785DB0">
            <w:pPr>
              <w:pStyle w:val="Bullet"/>
            </w:pPr>
            <w:r w:rsidRPr="00FE5785">
              <w:t>acknowledge any sources used when investigating famous buildings</w:t>
            </w:r>
          </w:p>
          <w:p w14:paraId="3249F278" w14:textId="77777777" w:rsidR="00785DB0" w:rsidRPr="00FE5785" w:rsidRDefault="00785DB0" w:rsidP="00785DB0">
            <w:pPr>
              <w:pStyle w:val="Bullet"/>
            </w:pPr>
            <w:r w:rsidRPr="00FE5785">
              <w:t>use divergent thinking to generate design ideas</w:t>
            </w:r>
          </w:p>
          <w:p w14:paraId="59E7C041" w14:textId="77777777" w:rsidR="00785DB0" w:rsidRPr="00FE5785" w:rsidRDefault="00785DB0" w:rsidP="00785DB0">
            <w:pPr>
              <w:pStyle w:val="Bullet"/>
            </w:pPr>
            <w:r w:rsidRPr="00FE5785">
              <w:t>visually communicate their own initial design ideas through a set of 2D and 3D drawings that can be created manually, digitally, or as a combination of both</w:t>
            </w:r>
          </w:p>
          <w:p w14:paraId="2AC77593" w14:textId="77777777" w:rsidR="00785DB0" w:rsidRPr="00FE5785" w:rsidRDefault="00785DB0" w:rsidP="00785DB0">
            <w:pPr>
              <w:pStyle w:val="Bullet"/>
            </w:pPr>
            <w:r w:rsidRPr="00FE5785">
              <w:t>support their design drawings by adding labels and brief notes that help explain the main aesthetic and functional features as well as the student’s design thinking behind each idea.</w:t>
            </w:r>
          </w:p>
          <w:p w14:paraId="4F8FA50A" w14:textId="77777777" w:rsidR="002F568C" w:rsidRDefault="002F568C" w:rsidP="0027786B">
            <w:pPr>
              <w:pStyle w:val="TableParagraph"/>
            </w:pPr>
          </w:p>
          <w:p w14:paraId="507E5B47" w14:textId="53028F94" w:rsidR="003D4984" w:rsidRPr="00FE5785" w:rsidRDefault="003D4984" w:rsidP="003D4984">
            <w:pPr>
              <w:pStyle w:val="Heading5"/>
            </w:pPr>
            <w:r w:rsidRPr="00FE5785">
              <w:t xml:space="preserve">Project two </w:t>
            </w:r>
            <w:r w:rsidR="00EC21C3" w:rsidRPr="00EC21C3">
              <w:rPr>
                <w:bCs/>
              </w:rPr>
              <w:t>—</w:t>
            </w:r>
            <w:r w:rsidRPr="00FE5785">
              <w:t xml:space="preserve"> part two: Clarifying the context</w:t>
            </w:r>
          </w:p>
          <w:p w14:paraId="1A80A3A3" w14:textId="77777777" w:rsidR="003D4984" w:rsidRPr="00FE5785" w:rsidRDefault="003D4984" w:rsidP="003D4984">
            <w:pPr>
              <w:pStyle w:val="Heading6"/>
            </w:pPr>
            <w:r w:rsidRPr="00FE5785">
              <w:t xml:space="preserve">Activity: Students will clarify and visually communicate the selected details of their outdoor location in the form of a site analysis. </w:t>
            </w:r>
          </w:p>
          <w:p w14:paraId="54126CD2" w14:textId="77777777" w:rsidR="003D4984" w:rsidRDefault="003D4984" w:rsidP="003D4984">
            <w:pPr>
              <w:pStyle w:val="Heading6"/>
              <w:rPr>
                <w:b w:val="0"/>
                <w:bCs/>
              </w:rPr>
            </w:pPr>
            <w:r w:rsidRPr="003D4984">
              <w:rPr>
                <w:b w:val="0"/>
                <w:bCs/>
              </w:rPr>
              <w:t>Duration — 1 week</w:t>
            </w:r>
          </w:p>
          <w:p w14:paraId="25B9FA4F" w14:textId="77777777" w:rsidR="00944B14" w:rsidRPr="00B60202" w:rsidRDefault="00944B14" w:rsidP="00944B14">
            <w:pPr>
              <w:pStyle w:val="TableParagraph"/>
            </w:pPr>
            <w:r w:rsidRPr="00B60202">
              <w:t xml:space="preserve">Site analysis information may include functional aspects such as: </w:t>
            </w:r>
          </w:p>
          <w:p w14:paraId="6AC46D8E" w14:textId="77777777" w:rsidR="00944B14" w:rsidRPr="00B60202" w:rsidRDefault="00944B14" w:rsidP="00944B14">
            <w:pPr>
              <w:pStyle w:val="Bullet"/>
            </w:pPr>
            <w:r w:rsidRPr="00B60202">
              <w:t>location</w:t>
            </w:r>
          </w:p>
          <w:p w14:paraId="0CABDE05" w14:textId="77777777" w:rsidR="00944B14" w:rsidRPr="00B60202" w:rsidRDefault="00944B14" w:rsidP="00944B14">
            <w:pPr>
              <w:pStyle w:val="Bullet"/>
            </w:pPr>
            <w:r w:rsidRPr="00B60202">
              <w:t>topography</w:t>
            </w:r>
          </w:p>
          <w:p w14:paraId="38711BD7" w14:textId="77777777" w:rsidR="00944B14" w:rsidRPr="00B60202" w:rsidRDefault="00944B14" w:rsidP="00944B14">
            <w:pPr>
              <w:pStyle w:val="Bullet"/>
            </w:pPr>
            <w:r w:rsidRPr="00B60202">
              <w:t>the size of the area</w:t>
            </w:r>
          </w:p>
          <w:p w14:paraId="6645DF85" w14:textId="77777777" w:rsidR="00944B14" w:rsidRPr="00B60202" w:rsidRDefault="00944B14" w:rsidP="00944B14">
            <w:pPr>
              <w:pStyle w:val="Bullet"/>
            </w:pPr>
            <w:r w:rsidRPr="00B60202">
              <w:t>description of built or natural features (both onsite and adjacent to the site)</w:t>
            </w:r>
          </w:p>
          <w:p w14:paraId="219CD80C" w14:textId="77777777" w:rsidR="00944B14" w:rsidRPr="00B60202" w:rsidRDefault="00944B14" w:rsidP="00944B14">
            <w:pPr>
              <w:pStyle w:val="Bullet"/>
            </w:pPr>
            <w:r w:rsidRPr="00B60202">
              <w:t xml:space="preserve">sun, wind, and views. </w:t>
            </w:r>
          </w:p>
          <w:p w14:paraId="05A909D7" w14:textId="77777777" w:rsidR="008E70CB" w:rsidRDefault="008E70CB" w:rsidP="00672CD1">
            <w:pPr>
              <w:pStyle w:val="TableParagraph"/>
            </w:pPr>
          </w:p>
          <w:p w14:paraId="1918F8F6" w14:textId="223FD3B2" w:rsidR="00944B14" w:rsidRPr="00B60202" w:rsidRDefault="00944B14" w:rsidP="00672CD1">
            <w:pPr>
              <w:pStyle w:val="TableParagraph"/>
            </w:pPr>
            <w:r w:rsidRPr="00B60202">
              <w:t>Students will:</w:t>
            </w:r>
          </w:p>
          <w:p w14:paraId="6E13BC79" w14:textId="77777777" w:rsidR="00944B14" w:rsidRPr="00B60202" w:rsidRDefault="00944B14" w:rsidP="00944B14">
            <w:pPr>
              <w:pStyle w:val="Bullet"/>
              <w:rPr>
                <w:strike/>
              </w:rPr>
            </w:pPr>
            <w:r w:rsidRPr="00B60202">
              <w:t>describe the activities that take place there currently</w:t>
            </w:r>
          </w:p>
          <w:p w14:paraId="06325643" w14:textId="77777777" w:rsidR="00944B14" w:rsidRPr="00B60202" w:rsidRDefault="00944B14" w:rsidP="00944B14">
            <w:pPr>
              <w:pStyle w:val="Bullet"/>
            </w:pPr>
            <w:r w:rsidRPr="00B60202">
              <w:t>visually communicate analysis of the site location using maps, aerial views, photographs (both looking at the site and looking from the site), and diagrams (such as sun path), supported by labels and brief notes.</w:t>
            </w:r>
          </w:p>
          <w:p w14:paraId="2DE25AB5" w14:textId="77777777" w:rsidR="008057E9" w:rsidRPr="008057E9" w:rsidRDefault="008057E9" w:rsidP="0027786B">
            <w:pPr>
              <w:pStyle w:val="TableParagraph"/>
            </w:pPr>
          </w:p>
          <w:p w14:paraId="2D3583A7" w14:textId="189CFAD4" w:rsidR="00692D30" w:rsidRPr="00FE5785" w:rsidRDefault="00692D30" w:rsidP="00692D30">
            <w:pPr>
              <w:pStyle w:val="Heading5"/>
            </w:pPr>
            <w:r w:rsidRPr="00FE5785">
              <w:t xml:space="preserve">Project two </w:t>
            </w:r>
            <w:r w:rsidR="00EC21C3" w:rsidRPr="00EC21C3">
              <w:rPr>
                <w:bCs/>
              </w:rPr>
              <w:t>—</w:t>
            </w:r>
            <w:r w:rsidRPr="00FE5785">
              <w:t xml:space="preserve"> part three: Developing a shade structure design outcome</w:t>
            </w:r>
          </w:p>
          <w:p w14:paraId="79086A9E" w14:textId="77777777" w:rsidR="00692D30" w:rsidRPr="00FE5785" w:rsidRDefault="00692D30" w:rsidP="00692D30">
            <w:pPr>
              <w:pStyle w:val="Heading6"/>
            </w:pPr>
            <w:r w:rsidRPr="00FE5785">
              <w:t xml:space="preserve">Activity: Students will develop their design ideas, refining and clarifying the aesthetic and functional features of their main design idea for a potential shade structure. </w:t>
            </w:r>
          </w:p>
          <w:p w14:paraId="52EF1E24" w14:textId="77777777" w:rsidR="00692D30" w:rsidRDefault="00692D30" w:rsidP="00692D30">
            <w:pPr>
              <w:pStyle w:val="Heading6"/>
              <w:rPr>
                <w:b w:val="0"/>
                <w:bCs/>
              </w:rPr>
            </w:pPr>
            <w:r w:rsidRPr="00692D30">
              <w:rPr>
                <w:b w:val="0"/>
                <w:bCs/>
              </w:rPr>
              <w:t>Duration — 6 weeks</w:t>
            </w:r>
          </w:p>
          <w:p w14:paraId="2B027BCE" w14:textId="77777777" w:rsidR="006765B0" w:rsidRPr="00B60202" w:rsidRDefault="006765B0" w:rsidP="006765B0">
            <w:pPr>
              <w:pStyle w:val="TableParagraph"/>
            </w:pPr>
            <w:r w:rsidRPr="00B60202">
              <w:t>Students will consider in their development and make decisions on:</w:t>
            </w:r>
          </w:p>
          <w:p w14:paraId="19544CB4" w14:textId="3693C4F7" w:rsidR="006765B0" w:rsidRPr="00B60202" w:rsidRDefault="006765B0" w:rsidP="006765B0">
            <w:pPr>
              <w:pStyle w:val="Bullet"/>
            </w:pPr>
            <w:r w:rsidRPr="00B60202">
              <w:t>overall form and aesthetics</w:t>
            </w:r>
          </w:p>
          <w:p w14:paraId="520F5813" w14:textId="77777777" w:rsidR="006765B0" w:rsidRPr="00B60202" w:rsidRDefault="006765B0" w:rsidP="006765B0">
            <w:pPr>
              <w:pStyle w:val="Bullet"/>
            </w:pPr>
            <w:r w:rsidRPr="00B60202">
              <w:lastRenderedPageBreak/>
              <w:t>overall use and functionality</w:t>
            </w:r>
          </w:p>
          <w:p w14:paraId="31B2C411" w14:textId="77777777" w:rsidR="006765B0" w:rsidRPr="00B60202" w:rsidRDefault="006765B0" w:rsidP="006765B0">
            <w:pPr>
              <w:pStyle w:val="Bullet"/>
            </w:pPr>
            <w:r w:rsidRPr="00B60202">
              <w:t xml:space="preserve">size and site placement </w:t>
            </w:r>
          </w:p>
          <w:p w14:paraId="3218A0FC" w14:textId="77777777" w:rsidR="006765B0" w:rsidRPr="00B60202" w:rsidRDefault="006765B0" w:rsidP="006765B0">
            <w:pPr>
              <w:pStyle w:val="Bullet"/>
            </w:pPr>
            <w:r w:rsidRPr="00B60202">
              <w:t>materials and colour</w:t>
            </w:r>
          </w:p>
          <w:p w14:paraId="75E4B118" w14:textId="77777777" w:rsidR="006765B0" w:rsidRPr="00B60202" w:rsidRDefault="006765B0" w:rsidP="006765B0">
            <w:pPr>
              <w:pStyle w:val="Bullet"/>
            </w:pPr>
            <w:r w:rsidRPr="00B60202">
              <w:t>basic construction</w:t>
            </w:r>
          </w:p>
          <w:p w14:paraId="616AE5D8" w14:textId="77777777" w:rsidR="006765B0" w:rsidRPr="00B60202" w:rsidRDefault="006765B0" w:rsidP="006765B0">
            <w:pPr>
              <w:pStyle w:val="Bullet"/>
            </w:pPr>
            <w:r w:rsidRPr="00B60202">
              <w:t>visually communicating their design thinking through the iterative use of 2D and 3D design drawings that can be created manually, digitally, or as a combination of both</w:t>
            </w:r>
          </w:p>
          <w:p w14:paraId="5D0080AF" w14:textId="77777777" w:rsidR="006765B0" w:rsidRDefault="006765B0" w:rsidP="006765B0">
            <w:pPr>
              <w:pStyle w:val="Bullet"/>
            </w:pPr>
            <w:r w:rsidRPr="00B60202">
              <w:t>supporting their design by using labels and brief notes that can help explain the aesthetic and functional features and details as well as the design decisions that have been made.</w:t>
            </w:r>
          </w:p>
          <w:p w14:paraId="41B182A3" w14:textId="77777777" w:rsidR="006765B0" w:rsidRPr="00B60202" w:rsidRDefault="006765B0" w:rsidP="001B2F16">
            <w:pPr>
              <w:pStyle w:val="TableParagraph"/>
            </w:pPr>
          </w:p>
          <w:p w14:paraId="1C56167A" w14:textId="00FFB182" w:rsidR="00785DB0" w:rsidRPr="00785DB0" w:rsidRDefault="006765B0" w:rsidP="006765B0">
            <w:pPr>
              <w:pStyle w:val="Subtitle"/>
            </w:pPr>
            <w:r w:rsidRPr="006765B0">
              <w:rPr>
                <w:rStyle w:val="cf01"/>
                <w:rFonts w:ascii="Arial" w:hAnsi="Arial" w:cs="Arial"/>
                <w:sz w:val="22"/>
                <w:szCs w:val="22"/>
              </w:rPr>
              <w:t xml:space="preserve">Learning covered will provide opportunities to collect evidence towards AS 92002 (1.3) </w:t>
            </w:r>
            <w:r w:rsidRPr="006765B0">
              <w:rPr>
                <w:rFonts w:cs="Arial"/>
              </w:rPr>
              <w:t>Develop product or spatial design ideas informed by the consideration of people.</w:t>
            </w:r>
          </w:p>
        </w:tc>
      </w:tr>
      <w:tr w:rsidR="002F568C" w14:paraId="6A2B1702" w14:textId="77777777">
        <w:tc>
          <w:tcPr>
            <w:tcW w:w="8931" w:type="dxa"/>
            <w:tcBorders>
              <w:top w:val="single" w:sz="4" w:space="0" w:color="A1561C" w:themeColor="accent6"/>
              <w:right w:val="single" w:sz="4" w:space="0" w:color="A1561C" w:themeColor="accent6"/>
            </w:tcBorders>
          </w:tcPr>
          <w:p w14:paraId="07598898" w14:textId="77777777" w:rsidR="002F568C" w:rsidRDefault="002F568C">
            <w:pPr>
              <w:pStyle w:val="Heading6"/>
            </w:pPr>
          </w:p>
        </w:tc>
        <w:tc>
          <w:tcPr>
            <w:tcW w:w="12947" w:type="dxa"/>
            <w:tcBorders>
              <w:top w:val="single" w:sz="4" w:space="0" w:color="A1561C" w:themeColor="accent6"/>
              <w:left w:val="single" w:sz="4" w:space="0" w:color="A1561C" w:themeColor="accent6"/>
            </w:tcBorders>
          </w:tcPr>
          <w:p w14:paraId="5C8AE644" w14:textId="77777777" w:rsidR="00943B22" w:rsidRPr="00943B22" w:rsidRDefault="00943B22" w:rsidP="00943B22">
            <w:pPr>
              <w:pStyle w:val="Heading5"/>
              <w:rPr>
                <w:bCs/>
              </w:rPr>
            </w:pPr>
            <w:r w:rsidRPr="00943B22">
              <w:rPr>
                <w:bCs/>
              </w:rPr>
              <w:t>Learning about instrumental drawing techniques and drawing systems</w:t>
            </w:r>
          </w:p>
          <w:p w14:paraId="6D5B798C" w14:textId="77777777" w:rsidR="00D7217F" w:rsidRPr="00D7217F" w:rsidRDefault="00D7217F" w:rsidP="00D7217F">
            <w:pPr>
              <w:pStyle w:val="Heading6"/>
            </w:pPr>
            <w:r w:rsidRPr="00D7217F">
              <w:t>Activity: Students will work through a series of manual drawing exercises.</w:t>
            </w:r>
          </w:p>
          <w:p w14:paraId="2BDD7700" w14:textId="17790094" w:rsidR="002F568C" w:rsidRDefault="002F568C">
            <w:pPr>
              <w:pStyle w:val="Heading6"/>
              <w:spacing w:after="120"/>
            </w:pPr>
            <w:r w:rsidRPr="000D5253">
              <w:rPr>
                <w:b w:val="0"/>
                <w:bCs/>
              </w:rPr>
              <w:t xml:space="preserve">Duration </w:t>
            </w:r>
            <w:r>
              <w:rPr>
                <w:b w:val="0"/>
                <w:bCs/>
              </w:rPr>
              <w:t>—</w:t>
            </w:r>
            <w:r w:rsidRPr="000D5253">
              <w:rPr>
                <w:b w:val="0"/>
                <w:bCs/>
              </w:rPr>
              <w:t xml:space="preserve"> </w:t>
            </w:r>
            <w:r w:rsidR="00D7217F">
              <w:rPr>
                <w:b w:val="0"/>
                <w:bCs/>
              </w:rPr>
              <w:t>2</w:t>
            </w:r>
            <w:r w:rsidRPr="000D5253">
              <w:rPr>
                <w:b w:val="0"/>
                <w:bCs/>
              </w:rPr>
              <w:t xml:space="preserve"> weeks</w:t>
            </w:r>
          </w:p>
        </w:tc>
      </w:tr>
      <w:tr w:rsidR="002F568C" w14:paraId="67EE2037" w14:textId="77777777">
        <w:tc>
          <w:tcPr>
            <w:tcW w:w="8931" w:type="dxa"/>
            <w:tcBorders>
              <w:bottom w:val="single" w:sz="4" w:space="0" w:color="A1561C" w:themeColor="accent6"/>
              <w:right w:val="single" w:sz="4" w:space="0" w:color="A1561C" w:themeColor="accent6"/>
            </w:tcBorders>
          </w:tcPr>
          <w:p w14:paraId="291A735D" w14:textId="42F5FAAF" w:rsidR="001E2ED7" w:rsidRDefault="001E2ED7" w:rsidP="001E2ED7">
            <w:pPr>
              <w:pStyle w:val="Bullet"/>
            </w:pPr>
            <w:r>
              <w:t>Develop visual skills and instrumental techniques to communicate details of design ideas and outcomes</w:t>
            </w:r>
          </w:p>
          <w:p w14:paraId="240385B9" w14:textId="4F45C727" w:rsidR="0093309E" w:rsidRDefault="001E2ED7" w:rsidP="001E2ED7">
            <w:pPr>
              <w:pStyle w:val="Bullet"/>
            </w:pPr>
            <w:r>
              <w:t>Develop visual skills and techniques for generating and exploring design ideas</w:t>
            </w:r>
          </w:p>
        </w:tc>
        <w:tc>
          <w:tcPr>
            <w:tcW w:w="12947" w:type="dxa"/>
            <w:tcBorders>
              <w:left w:val="single" w:sz="4" w:space="0" w:color="A1561C" w:themeColor="accent6"/>
              <w:bottom w:val="single" w:sz="4" w:space="0" w:color="A1561C" w:themeColor="accent6"/>
            </w:tcBorders>
          </w:tcPr>
          <w:p w14:paraId="2DCA29CF" w14:textId="77777777" w:rsidR="003378BB" w:rsidRPr="00B60202" w:rsidRDefault="003378BB" w:rsidP="003378BB">
            <w:pPr>
              <w:pStyle w:val="TableParagraph"/>
              <w:rPr>
                <w:color w:val="231F20"/>
              </w:rPr>
            </w:pPr>
            <w:r w:rsidRPr="00B60202">
              <w:rPr>
                <w:color w:val="231F20"/>
              </w:rPr>
              <w:t>Students will learn techniques and principles of instrumental drawing covering the following:</w:t>
            </w:r>
          </w:p>
          <w:p w14:paraId="3FB2BC52" w14:textId="77777777" w:rsidR="003378BB" w:rsidRPr="00B60202" w:rsidRDefault="003378BB" w:rsidP="003378BB">
            <w:pPr>
              <w:pStyle w:val="Bullet"/>
              <w:rPr>
                <w:bCs/>
              </w:rPr>
            </w:pPr>
            <w:r w:rsidRPr="00B60202">
              <w:t>using manual drawing equipment (such as pencils, T-square, set-squares, compass, circle templates)</w:t>
            </w:r>
          </w:p>
          <w:p w14:paraId="46EF72A0" w14:textId="77777777" w:rsidR="003378BB" w:rsidRPr="00B60202" w:rsidRDefault="003378BB" w:rsidP="003378BB">
            <w:pPr>
              <w:pStyle w:val="Bullet"/>
              <w:rPr>
                <w:bCs/>
              </w:rPr>
            </w:pPr>
            <w:r w:rsidRPr="00B60202">
              <w:t>applying the principles of line weights, line types, and labelling</w:t>
            </w:r>
          </w:p>
          <w:p w14:paraId="6B0D3FFC" w14:textId="77777777" w:rsidR="003378BB" w:rsidRPr="00B60202" w:rsidRDefault="003378BB" w:rsidP="003378BB">
            <w:pPr>
              <w:pStyle w:val="Bullet"/>
              <w:rPr>
                <w:bCs/>
              </w:rPr>
            </w:pPr>
            <w:r w:rsidRPr="00B60202">
              <w:t xml:space="preserve">applying the principles of orthographic and </w:t>
            </w:r>
            <w:proofErr w:type="spellStart"/>
            <w:r w:rsidRPr="00B60202">
              <w:t>paraline</w:t>
            </w:r>
            <w:proofErr w:type="spellEnd"/>
            <w:r w:rsidRPr="00B60202">
              <w:t xml:space="preserve"> drawing systems</w:t>
            </w:r>
          </w:p>
          <w:p w14:paraId="765C9AE8" w14:textId="77777777" w:rsidR="003378BB" w:rsidRPr="0023175D" w:rsidRDefault="003378BB" w:rsidP="003378BB">
            <w:pPr>
              <w:pStyle w:val="Bullet"/>
              <w:rPr>
                <w:bCs/>
              </w:rPr>
            </w:pPr>
            <w:r w:rsidRPr="00B60202">
              <w:t>applying foundational instrumental drawing techniques related to product or spatial design (such as sectional drawing, exploded drawing, and drawing details).</w:t>
            </w:r>
          </w:p>
          <w:p w14:paraId="7A199534" w14:textId="77777777" w:rsidR="002F568C" w:rsidRDefault="002F568C" w:rsidP="0027786B">
            <w:pPr>
              <w:pStyle w:val="TableParagraph"/>
            </w:pPr>
          </w:p>
          <w:p w14:paraId="25024FB0" w14:textId="77777777" w:rsidR="00B87FF1" w:rsidRPr="000A38E6" w:rsidRDefault="00B87FF1" w:rsidP="00B87FF1">
            <w:pPr>
              <w:pStyle w:val="Heading5"/>
            </w:pPr>
            <w:r w:rsidRPr="000A38E6">
              <w:t>Project three — Instrumental drawings of own design outcome</w:t>
            </w:r>
          </w:p>
          <w:p w14:paraId="64B7CD14" w14:textId="77777777" w:rsidR="00B87FF1" w:rsidRPr="000A38E6" w:rsidRDefault="00B87FF1" w:rsidP="00B87FF1">
            <w:pPr>
              <w:pStyle w:val="Heading6"/>
              <w:rPr>
                <w:bCs/>
              </w:rPr>
            </w:pPr>
            <w:r w:rsidRPr="000A38E6">
              <w:t>Activity: Students will draft their instrumental drawings</w:t>
            </w:r>
            <w:r w:rsidRPr="000A38E6">
              <w:rPr>
                <w:bCs/>
              </w:rPr>
              <w:t>.</w:t>
            </w:r>
          </w:p>
          <w:p w14:paraId="7A4376AB" w14:textId="77777777" w:rsidR="00B87FF1" w:rsidRDefault="00B87FF1" w:rsidP="00B87FF1">
            <w:pPr>
              <w:pStyle w:val="Heading6"/>
              <w:rPr>
                <w:b w:val="0"/>
                <w:bCs/>
              </w:rPr>
            </w:pPr>
            <w:r w:rsidRPr="00B87FF1">
              <w:rPr>
                <w:b w:val="0"/>
                <w:bCs/>
              </w:rPr>
              <w:t>Duration — 6 weeks</w:t>
            </w:r>
          </w:p>
          <w:p w14:paraId="1F2D8729" w14:textId="77777777" w:rsidR="00DE7088" w:rsidRPr="00B60202" w:rsidRDefault="00DE7088" w:rsidP="00DE7088">
            <w:pPr>
              <w:pStyle w:val="TableParagraph"/>
              <w:rPr>
                <w:color w:val="231F20"/>
              </w:rPr>
            </w:pPr>
            <w:r w:rsidRPr="00B60202">
              <w:rPr>
                <w:color w:val="231F20"/>
              </w:rPr>
              <w:t>Instrumental drawing will consist of:</w:t>
            </w:r>
          </w:p>
          <w:p w14:paraId="30A6F175" w14:textId="77777777" w:rsidR="00DE7088" w:rsidRPr="0023175D" w:rsidRDefault="00DE7088" w:rsidP="00DE7088">
            <w:pPr>
              <w:pStyle w:val="Bullet"/>
            </w:pPr>
            <w:r w:rsidRPr="0023175D">
              <w:t xml:space="preserve">an overall assembled </w:t>
            </w:r>
            <w:proofErr w:type="spellStart"/>
            <w:r w:rsidRPr="0023175D">
              <w:t>paraline</w:t>
            </w:r>
            <w:proofErr w:type="spellEnd"/>
            <w:r w:rsidRPr="0023175D">
              <w:t xml:space="preserve"> drawing</w:t>
            </w:r>
          </w:p>
          <w:p w14:paraId="0F89ECE0" w14:textId="4B7A0160" w:rsidR="00DE7088" w:rsidRPr="0023175D" w:rsidRDefault="00DE7088" w:rsidP="00DE7088">
            <w:pPr>
              <w:pStyle w:val="Bullet"/>
            </w:pPr>
            <w:r w:rsidRPr="0023175D">
              <w:t xml:space="preserve">either an exploded </w:t>
            </w:r>
            <w:proofErr w:type="spellStart"/>
            <w:r w:rsidRPr="0023175D">
              <w:t>paraline</w:t>
            </w:r>
            <w:proofErr w:type="spellEnd"/>
            <w:r w:rsidRPr="0023175D">
              <w:t xml:space="preserve"> drawing or sectioned </w:t>
            </w:r>
            <w:proofErr w:type="spellStart"/>
            <w:r w:rsidRPr="0023175D">
              <w:t>paraline</w:t>
            </w:r>
            <w:proofErr w:type="spellEnd"/>
            <w:r w:rsidRPr="0023175D">
              <w:t xml:space="preserve"> drawing as appropriate for visually communicating construction or assembly details</w:t>
            </w:r>
            <w:r w:rsidR="00DF4BBD">
              <w:t>.</w:t>
            </w:r>
          </w:p>
          <w:p w14:paraId="3950F8E9" w14:textId="77777777" w:rsidR="00DE7088" w:rsidRPr="00B60202" w:rsidRDefault="00DE7088" w:rsidP="00DE7088">
            <w:pPr>
              <w:pStyle w:val="TableParagraph"/>
              <w:rPr>
                <w:color w:val="231F20"/>
              </w:rPr>
            </w:pPr>
          </w:p>
          <w:p w14:paraId="2BF81944" w14:textId="5E183329" w:rsidR="00B87FF1" w:rsidRPr="00DE7088" w:rsidRDefault="00DE7088" w:rsidP="00DE7088">
            <w:pPr>
              <w:pStyle w:val="Subtitle"/>
              <w:rPr>
                <w:rFonts w:cs="Arial"/>
              </w:rPr>
            </w:pPr>
            <w:r w:rsidRPr="00DE7088">
              <w:rPr>
                <w:rStyle w:val="cf01"/>
                <w:rFonts w:ascii="Arial" w:hAnsi="Arial" w:cs="Arial"/>
                <w:sz w:val="22"/>
                <w:szCs w:val="22"/>
              </w:rPr>
              <w:t xml:space="preserve">Learning covered will provide opportunities to collect evidence towards AS 92003 (1.4) </w:t>
            </w:r>
            <w:r w:rsidRPr="00DE7088">
              <w:rPr>
                <w:rFonts w:cs="Arial"/>
              </w:rPr>
              <w:t>Use instrumental drawing techniques to communicate own product or spatial design outcome.</w:t>
            </w:r>
          </w:p>
        </w:tc>
      </w:tr>
      <w:tr w:rsidR="004032FB" w14:paraId="1E020A60" w14:textId="77777777" w:rsidTr="004032FB">
        <w:tc>
          <w:tcPr>
            <w:tcW w:w="8931" w:type="dxa"/>
            <w:tcBorders>
              <w:top w:val="single" w:sz="4" w:space="0" w:color="A1561C" w:themeColor="accent6"/>
              <w:right w:val="single" w:sz="4" w:space="0" w:color="A1561C" w:themeColor="accent6"/>
            </w:tcBorders>
          </w:tcPr>
          <w:p w14:paraId="4579AA03" w14:textId="77777777" w:rsidR="004032FB" w:rsidRDefault="004032FB" w:rsidP="004032FB">
            <w:pPr>
              <w:pStyle w:val="TableParagraph"/>
            </w:pPr>
          </w:p>
        </w:tc>
        <w:tc>
          <w:tcPr>
            <w:tcW w:w="12947" w:type="dxa"/>
            <w:tcBorders>
              <w:top w:val="single" w:sz="4" w:space="0" w:color="A1561C" w:themeColor="accent6"/>
              <w:left w:val="single" w:sz="4" w:space="0" w:color="A1561C" w:themeColor="accent6"/>
            </w:tcBorders>
          </w:tcPr>
          <w:p w14:paraId="711F5CE1" w14:textId="77777777" w:rsidR="0014665D" w:rsidRPr="0014665D" w:rsidRDefault="0014665D" w:rsidP="0014665D">
            <w:pPr>
              <w:pStyle w:val="Heading5"/>
              <w:rPr>
                <w:bCs/>
              </w:rPr>
            </w:pPr>
            <w:r w:rsidRPr="0014665D">
              <w:rPr>
                <w:bCs/>
              </w:rPr>
              <w:t xml:space="preserve">Project four — Learning rendering techniques and rendered visual presentation of own design outcome </w:t>
            </w:r>
          </w:p>
          <w:p w14:paraId="0CAFECCD" w14:textId="77777777" w:rsidR="00FF2120" w:rsidRPr="00FF2120" w:rsidRDefault="00FF2120" w:rsidP="00FF2120">
            <w:pPr>
              <w:pStyle w:val="Heading6"/>
            </w:pPr>
            <w:r w:rsidRPr="00FF2120">
              <w:t>Activity: Students will work through a series of manual rendering exercises and create rendered drawings to visually showcase the aesthetic qualities of one of their design outcomes.</w:t>
            </w:r>
          </w:p>
          <w:p w14:paraId="677C136C" w14:textId="3708F017" w:rsidR="004032FB" w:rsidRPr="004032FB" w:rsidRDefault="004032FB" w:rsidP="0072141B">
            <w:pPr>
              <w:pStyle w:val="Heading6"/>
              <w:spacing w:after="120"/>
              <w:rPr>
                <w:b w:val="0"/>
                <w:bCs/>
              </w:rPr>
            </w:pPr>
            <w:r w:rsidRPr="000D5253">
              <w:rPr>
                <w:b w:val="0"/>
                <w:bCs/>
              </w:rPr>
              <w:t xml:space="preserve">Duration </w:t>
            </w:r>
            <w:r w:rsidR="00861455">
              <w:rPr>
                <w:b w:val="0"/>
                <w:bCs/>
              </w:rPr>
              <w:t>—</w:t>
            </w:r>
            <w:r w:rsidRPr="000D5253">
              <w:rPr>
                <w:b w:val="0"/>
                <w:bCs/>
              </w:rPr>
              <w:t xml:space="preserve"> </w:t>
            </w:r>
            <w:r w:rsidR="00FF2120">
              <w:rPr>
                <w:b w:val="0"/>
                <w:bCs/>
              </w:rPr>
              <w:t>6</w:t>
            </w:r>
            <w:r w:rsidRPr="000D5253">
              <w:rPr>
                <w:b w:val="0"/>
                <w:bCs/>
              </w:rPr>
              <w:t xml:space="preserve"> weeks</w:t>
            </w:r>
          </w:p>
        </w:tc>
      </w:tr>
      <w:tr w:rsidR="00B86C11" w14:paraId="70A16EF0" w14:textId="77777777" w:rsidTr="004032FB">
        <w:tc>
          <w:tcPr>
            <w:tcW w:w="8931" w:type="dxa"/>
            <w:tcBorders>
              <w:bottom w:val="single" w:sz="4" w:space="0" w:color="A1561C" w:themeColor="accent6"/>
              <w:right w:val="single" w:sz="4" w:space="0" w:color="A1561C" w:themeColor="accent6"/>
            </w:tcBorders>
          </w:tcPr>
          <w:p w14:paraId="56151ACA" w14:textId="38507C27" w:rsidR="00B86C11" w:rsidRDefault="00FC7B67" w:rsidP="00FC7B67">
            <w:pPr>
              <w:pStyle w:val="Bullet"/>
            </w:pPr>
            <w:r w:rsidRPr="00B60202">
              <w:lastRenderedPageBreak/>
              <w:t>Develop visual skills and instrumental techniques to communicate details of design ideas and outcomes</w:t>
            </w:r>
          </w:p>
        </w:tc>
        <w:tc>
          <w:tcPr>
            <w:tcW w:w="12947" w:type="dxa"/>
            <w:tcBorders>
              <w:left w:val="single" w:sz="4" w:space="0" w:color="A1561C" w:themeColor="accent6"/>
              <w:bottom w:val="single" w:sz="4" w:space="0" w:color="A1561C" w:themeColor="accent6"/>
            </w:tcBorders>
          </w:tcPr>
          <w:p w14:paraId="202F2789" w14:textId="56B07C33" w:rsidR="0036635C" w:rsidRPr="00B60202" w:rsidRDefault="0036635C" w:rsidP="0036635C">
            <w:pPr>
              <w:pStyle w:val="TableParagraph"/>
              <w:rPr>
                <w:color w:val="231F20"/>
              </w:rPr>
            </w:pPr>
            <w:r w:rsidRPr="00B60202">
              <w:rPr>
                <w:color w:val="231F20"/>
              </w:rPr>
              <w:t>Students will use the techniques and principles of rendering by:</w:t>
            </w:r>
          </w:p>
          <w:p w14:paraId="4C0C8291" w14:textId="77777777" w:rsidR="0036635C" w:rsidRPr="00B60202" w:rsidRDefault="0036635C" w:rsidP="0036635C">
            <w:pPr>
              <w:pStyle w:val="Bullet"/>
            </w:pPr>
            <w:r w:rsidRPr="00B60202">
              <w:t>applying the principles of tonal effects of a light source, cast shadows, shadow lines and highlights, materials, and textures</w:t>
            </w:r>
          </w:p>
          <w:p w14:paraId="16F9DFAD" w14:textId="77777777" w:rsidR="0036635C" w:rsidRPr="00B60202" w:rsidRDefault="0036635C" w:rsidP="0036635C">
            <w:pPr>
              <w:pStyle w:val="Bullet"/>
            </w:pPr>
            <w:r w:rsidRPr="00B60202">
              <w:t>using manual rendering media (such as pencils, colour pencils, design markers, pastels, etc)</w:t>
            </w:r>
          </w:p>
          <w:p w14:paraId="0B06B203" w14:textId="77777777" w:rsidR="0036635C" w:rsidRPr="00B60202" w:rsidRDefault="0036635C" w:rsidP="0036635C">
            <w:pPr>
              <w:pStyle w:val="Bullet"/>
            </w:pPr>
            <w:r w:rsidRPr="00B60202">
              <w:t>trial suitable techniques and media as drafts for their rendered drawings</w:t>
            </w:r>
          </w:p>
          <w:p w14:paraId="1AE7DF7B" w14:textId="3812CDAC" w:rsidR="0036635C" w:rsidRDefault="0036635C" w:rsidP="0036635C">
            <w:pPr>
              <w:pStyle w:val="Bullet"/>
            </w:pPr>
            <w:r w:rsidRPr="00B60202">
              <w:t xml:space="preserve">produce a final hand rendered or digital rendered drawing of their own design outcome (either their </w:t>
            </w:r>
            <w:r w:rsidR="00B44410" w:rsidRPr="00CD164C">
              <w:t>inviting spaces</w:t>
            </w:r>
            <w:r w:rsidR="00B44410">
              <w:t xml:space="preserve"> </w:t>
            </w:r>
            <w:r w:rsidRPr="00B60202">
              <w:t>design or shade structure design) that will visually showcase its aesthetic qualities with maximum visual impact.</w:t>
            </w:r>
          </w:p>
          <w:p w14:paraId="5D9E30F6" w14:textId="77777777" w:rsidR="0036635C" w:rsidRPr="00B60202" w:rsidRDefault="0036635C" w:rsidP="0036635C">
            <w:pPr>
              <w:pStyle w:val="TableParagraph"/>
            </w:pPr>
          </w:p>
          <w:p w14:paraId="02B18E01" w14:textId="74FEAACE" w:rsidR="00B86C11" w:rsidRPr="0036635C" w:rsidRDefault="0036635C" w:rsidP="0036635C">
            <w:pPr>
              <w:pStyle w:val="Subtitle"/>
              <w:rPr>
                <w:rFonts w:cs="Arial"/>
              </w:rPr>
            </w:pPr>
            <w:r w:rsidRPr="0036635C">
              <w:rPr>
                <w:rStyle w:val="cf01"/>
                <w:rFonts w:ascii="Arial" w:hAnsi="Arial" w:cs="Arial"/>
                <w:sz w:val="22"/>
                <w:szCs w:val="22"/>
              </w:rPr>
              <w:t xml:space="preserve">Learning covered will provide opportunities to collect evidence towards AS 92001 (1.2) </w:t>
            </w:r>
            <w:r w:rsidRPr="0036635C">
              <w:rPr>
                <w:rFonts w:cs="Arial"/>
              </w:rPr>
              <w:t>Use representation techniques to visually communicate own product or spatial design outcome.</w:t>
            </w:r>
          </w:p>
        </w:tc>
      </w:tr>
    </w:tbl>
    <w:p w14:paraId="3FAB5313" w14:textId="48EB8DCD" w:rsidR="008E1D41" w:rsidRDefault="008E1D41" w:rsidP="001C0E0F">
      <w:pPr>
        <w:pStyle w:val="BulletLevel3"/>
        <w:numPr>
          <w:ilvl w:val="0"/>
          <w:numId w:val="0"/>
        </w:numPr>
      </w:pPr>
    </w:p>
    <w:sectPr w:rsidR="008E1D41" w:rsidSect="008B23C6">
      <w:headerReference w:type="even" r:id="rId12"/>
      <w:headerReference w:type="default" r:id="rId13"/>
      <w:footerReference w:type="even" r:id="rId14"/>
      <w:footerReference w:type="default" r:id="rId15"/>
      <w:headerReference w:type="first" r:id="rId16"/>
      <w:footerReference w:type="first" r:id="rId17"/>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6AEF" w14:textId="77777777" w:rsidR="000308D5" w:rsidRDefault="000308D5">
      <w:r>
        <w:separator/>
      </w:r>
    </w:p>
  </w:endnote>
  <w:endnote w:type="continuationSeparator" w:id="0">
    <w:p w14:paraId="3B1F785C" w14:textId="77777777" w:rsidR="000308D5" w:rsidRDefault="000308D5">
      <w:r>
        <w:continuationSeparator/>
      </w:r>
    </w:p>
  </w:endnote>
  <w:endnote w:type="continuationNotice" w:id="1">
    <w:p w14:paraId="13FBF0C7" w14:textId="77777777" w:rsidR="000308D5" w:rsidRDefault="000308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8A1B" w14:textId="0112C604" w:rsidR="00296B8E" w:rsidRDefault="00E4578F">
    <w:pPr>
      <w:pStyle w:val="Footer"/>
    </w:pPr>
    <w:r>
      <w:rPr>
        <w:noProof/>
      </w:rPr>
      <mc:AlternateContent>
        <mc:Choice Requires="wps">
          <w:drawing>
            <wp:anchor distT="0" distB="0" distL="0" distR="0" simplePos="0" relativeHeight="251658248" behindDoc="0" locked="0" layoutInCell="1" allowOverlap="1" wp14:anchorId="4843408C" wp14:editId="7F0D8325">
              <wp:simplePos x="635" y="635"/>
              <wp:positionH relativeFrom="page">
                <wp:align>center</wp:align>
              </wp:positionH>
              <wp:positionV relativeFrom="page">
                <wp:align>bottom</wp:align>
              </wp:positionV>
              <wp:extent cx="815340" cy="421640"/>
              <wp:effectExtent l="0" t="0" r="3810" b="0"/>
              <wp:wrapNone/>
              <wp:docPr id="19090792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1529902" w14:textId="78C49DAB"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3408C" id="_x0000_t202" coordsize="21600,21600" o:spt="202" path="m,l,21600r21600,l21600,xe">
              <v:stroke joinstyle="miter"/>
              <v:path gradientshapeok="t" o:connecttype="rect"/>
            </v:shapetype>
            <v:shape id="Text Box 5" o:spid="_x0000_s1028" type="#_x0000_t202" alt="[UNCLASSIFIED]" style="position:absolute;margin-left:0;margin-top:0;width:64.2pt;height:33.2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21529902" w14:textId="78C49DAB"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257320A2"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4CB7B8F9">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6A9F1E43"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B1A4F54">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48298E78"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7E98D5C5" w:rsidR="00AB3DCB" w:rsidRPr="006D286F" w:rsidRDefault="00AB3DCB" w:rsidP="006D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58F9" w14:textId="6D3DF0B3" w:rsidR="00296B8E" w:rsidRDefault="00E4578F">
    <w:pPr>
      <w:pStyle w:val="Footer"/>
    </w:pPr>
    <w:r>
      <w:rPr>
        <w:noProof/>
      </w:rPr>
      <mc:AlternateContent>
        <mc:Choice Requires="wps">
          <w:drawing>
            <wp:anchor distT="0" distB="0" distL="0" distR="0" simplePos="0" relativeHeight="251658247" behindDoc="0" locked="0" layoutInCell="1" allowOverlap="1" wp14:anchorId="7C480207" wp14:editId="72C07BE6">
              <wp:simplePos x="635" y="635"/>
              <wp:positionH relativeFrom="page">
                <wp:align>center</wp:align>
              </wp:positionH>
              <wp:positionV relativeFrom="page">
                <wp:align>bottom</wp:align>
              </wp:positionV>
              <wp:extent cx="815340" cy="421640"/>
              <wp:effectExtent l="0" t="0" r="3810" b="0"/>
              <wp:wrapNone/>
              <wp:docPr id="30759921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062E6E5" w14:textId="2D40AA59"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80207" id="_x0000_t202" coordsize="21600,21600" o:spt="202" path="m,l,21600r21600,l21600,xe">
              <v:stroke joinstyle="miter"/>
              <v:path gradientshapeok="t" o:connecttype="rect"/>
            </v:shapetype>
            <v:shape id="Text Box 4" o:spid="_x0000_s1031" type="#_x0000_t202" alt="[UNCLASSIFIED]" style="position:absolute;margin-left:0;margin-top:0;width:64.2pt;height:33.2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" filled="f" stroked="f">
              <v:fill o:detectmouseclick="t"/>
              <v:textbox style="mso-fit-shape-to-text:t" inset="0,0,0,15pt">
                <w:txbxContent>
                  <w:p w14:paraId="4062E6E5" w14:textId="2D40AA59"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C8F4" w14:textId="77777777" w:rsidR="000308D5" w:rsidRDefault="000308D5">
      <w:r>
        <w:separator/>
      </w:r>
    </w:p>
  </w:footnote>
  <w:footnote w:type="continuationSeparator" w:id="0">
    <w:p w14:paraId="37167C97" w14:textId="77777777" w:rsidR="000308D5" w:rsidRDefault="000308D5">
      <w:r>
        <w:continuationSeparator/>
      </w:r>
    </w:p>
  </w:footnote>
  <w:footnote w:type="continuationNotice" w:id="1">
    <w:p w14:paraId="1A20836A" w14:textId="77777777" w:rsidR="000308D5" w:rsidRDefault="000308D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AF89" w14:textId="29D6368C" w:rsidR="00296B8E" w:rsidRDefault="00E4578F">
    <w:pPr>
      <w:pStyle w:val="Header"/>
    </w:pPr>
    <w:r>
      <w:rPr>
        <w:noProof/>
      </w:rPr>
      <mc:AlternateContent>
        <mc:Choice Requires="wps">
          <w:drawing>
            <wp:anchor distT="0" distB="0" distL="0" distR="0" simplePos="0" relativeHeight="251658245" behindDoc="0" locked="0" layoutInCell="1" allowOverlap="1" wp14:anchorId="19F76BE2" wp14:editId="5B273F04">
              <wp:simplePos x="635" y="635"/>
              <wp:positionH relativeFrom="page">
                <wp:align>center</wp:align>
              </wp:positionH>
              <wp:positionV relativeFrom="page">
                <wp:align>top</wp:align>
              </wp:positionV>
              <wp:extent cx="815340" cy="421640"/>
              <wp:effectExtent l="0" t="0" r="3810" b="16510"/>
              <wp:wrapNone/>
              <wp:docPr id="193423881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8511E5E" w14:textId="6B06CEA4"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F76BE2" id="_x0000_t202" coordsize="21600,21600" o:spt="202" path="m,l,21600r21600,l21600,xe">
              <v:stroke joinstyle="miter"/>
              <v:path gradientshapeok="t" o:connecttype="rect"/>
            </v:shapetype>
            <v:shape id="Text Box 2" o:spid="_x0000_s1026" type="#_x0000_t202" alt="[UNCLASSIFIED]" style="position:absolute;margin-left:0;margin-top:0;width:64.2pt;height:33.2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48511E5E" w14:textId="6B06CEA4"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635B34DD"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3E39F074" w:rsidR="00E85F10" w:rsidRDefault="00E85F10" w:rsidP="00342B25">
    <w:pPr>
      <w:spacing w:before="16"/>
      <w:ind w:left="20"/>
      <w:jc w:val="right"/>
      <w:rPr>
        <w:rFonts w:ascii="Verdana"/>
        <w:sz w:val="18"/>
      </w:rPr>
    </w:pPr>
    <w:r>
      <w:rPr>
        <w:rFonts w:ascii="Verdana"/>
        <w:color w:val="231F20"/>
        <w:spacing w:val="-2"/>
        <w:sz w:val="18"/>
      </w:rPr>
      <w:t xml:space="preserve">Version </w:t>
    </w:r>
    <w:r w:rsidR="00074F25">
      <w:rPr>
        <w:rFonts w:ascii="Verdana"/>
        <w:color w:val="231F20"/>
        <w:spacing w:val="-2"/>
        <w:sz w:val="18"/>
      </w:rPr>
      <w:t>4</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E2C" w14:textId="4DDB6AB2" w:rsidR="00296B8E" w:rsidRDefault="00E4578F">
    <w:pPr>
      <w:pStyle w:val="Header"/>
    </w:pPr>
    <w:r>
      <w:rPr>
        <w:noProof/>
      </w:rPr>
      <mc:AlternateContent>
        <mc:Choice Requires="wps">
          <w:drawing>
            <wp:anchor distT="0" distB="0" distL="0" distR="0" simplePos="0" relativeHeight="251658244" behindDoc="0" locked="0" layoutInCell="1" allowOverlap="1" wp14:anchorId="75991A8F" wp14:editId="7B2A3F28">
              <wp:simplePos x="635" y="635"/>
              <wp:positionH relativeFrom="page">
                <wp:align>center</wp:align>
              </wp:positionH>
              <wp:positionV relativeFrom="page">
                <wp:align>top</wp:align>
              </wp:positionV>
              <wp:extent cx="815340" cy="421640"/>
              <wp:effectExtent l="0" t="0" r="3810" b="16510"/>
              <wp:wrapNone/>
              <wp:docPr id="167333085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3CC26E2" w14:textId="59FC8EDB"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91A8F" id="_x0000_t202" coordsize="21600,21600" o:spt="202" path="m,l,21600r21600,l21600,xe">
              <v:stroke joinstyle="miter"/>
              <v:path gradientshapeok="t" o:connecttype="rect"/>
            </v:shapetype>
            <v:shape id="Text Box 1" o:spid="_x0000_s1030" type="#_x0000_t202" alt="[UNCLASSIFIED]" style="position:absolute;margin-left:0;margin-top:0;width:64.2pt;height:33.2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53CC26E2" w14:textId="59FC8EDB" w:rsidR="00E4578F" w:rsidRPr="00E4578F" w:rsidRDefault="00E4578F" w:rsidP="00E4578F">
                    <w:pPr>
                      <w:rPr>
                        <w:rFonts w:ascii="Calibri" w:eastAsia="Calibri" w:hAnsi="Calibri" w:cs="Calibri"/>
                        <w:noProof/>
                        <w:color w:val="000000"/>
                        <w:sz w:val="20"/>
                        <w:szCs w:val="20"/>
                      </w:rPr>
                    </w:pPr>
                    <w:r w:rsidRPr="00E4578F">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5D97"/>
    <w:multiLevelType w:val="hybridMultilevel"/>
    <w:tmpl w:val="3D2C1E3E"/>
    <w:lvl w:ilvl="0" w:tplc="F7229518">
      <w:start w:val="1"/>
      <w:numFmt w:val="bullet"/>
      <w:pStyle w:val="BulletLevel3"/>
      <w:lvlText w:val=""/>
      <w:lvlJc w:val="left"/>
      <w:pPr>
        <w:ind w:left="1097"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 w15:restartNumberingAfterBreak="0">
    <w:nsid w:val="2CCC39BA"/>
    <w:multiLevelType w:val="hybridMultilevel"/>
    <w:tmpl w:val="125A4B9C"/>
    <w:lvl w:ilvl="0" w:tplc="96666354">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D1751F"/>
    <w:multiLevelType w:val="hybridMultilevel"/>
    <w:tmpl w:val="145442A0"/>
    <w:lvl w:ilvl="0" w:tplc="70C6EC88">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num w:numId="1" w16cid:durableId="1260991121">
    <w:abstractNumId w:val="1"/>
  </w:num>
  <w:num w:numId="2" w16cid:durableId="494228640">
    <w:abstractNumId w:val="2"/>
  </w:num>
  <w:num w:numId="3" w16cid:durableId="1561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0369"/>
    <w:rsid w:val="000131E6"/>
    <w:rsid w:val="000168C8"/>
    <w:rsid w:val="00016930"/>
    <w:rsid w:val="00022E5F"/>
    <w:rsid w:val="000263B6"/>
    <w:rsid w:val="000308D5"/>
    <w:rsid w:val="000330C2"/>
    <w:rsid w:val="00033B5A"/>
    <w:rsid w:val="000353F7"/>
    <w:rsid w:val="00050727"/>
    <w:rsid w:val="00053BA0"/>
    <w:rsid w:val="000707AE"/>
    <w:rsid w:val="00072B52"/>
    <w:rsid w:val="00073376"/>
    <w:rsid w:val="00074F25"/>
    <w:rsid w:val="00076ECF"/>
    <w:rsid w:val="00077AF9"/>
    <w:rsid w:val="00085361"/>
    <w:rsid w:val="00086F0B"/>
    <w:rsid w:val="00091C24"/>
    <w:rsid w:val="00093E24"/>
    <w:rsid w:val="000965F4"/>
    <w:rsid w:val="00097EE2"/>
    <w:rsid w:val="000A13FA"/>
    <w:rsid w:val="000C0243"/>
    <w:rsid w:val="000C1544"/>
    <w:rsid w:val="000C72D7"/>
    <w:rsid w:val="000D5253"/>
    <w:rsid w:val="000D70E2"/>
    <w:rsid w:val="000E10AC"/>
    <w:rsid w:val="000E538E"/>
    <w:rsid w:val="000F248A"/>
    <w:rsid w:val="000F2E9B"/>
    <w:rsid w:val="000F583C"/>
    <w:rsid w:val="00110D85"/>
    <w:rsid w:val="00111666"/>
    <w:rsid w:val="00133672"/>
    <w:rsid w:val="001351F8"/>
    <w:rsid w:val="00140346"/>
    <w:rsid w:val="00143E8B"/>
    <w:rsid w:val="0014665D"/>
    <w:rsid w:val="00146CF5"/>
    <w:rsid w:val="00151265"/>
    <w:rsid w:val="001633B6"/>
    <w:rsid w:val="00163E92"/>
    <w:rsid w:val="00170F4F"/>
    <w:rsid w:val="001735BE"/>
    <w:rsid w:val="00174194"/>
    <w:rsid w:val="001A3B86"/>
    <w:rsid w:val="001A77E3"/>
    <w:rsid w:val="001B2F16"/>
    <w:rsid w:val="001B3E03"/>
    <w:rsid w:val="001C0E0F"/>
    <w:rsid w:val="001C1AD1"/>
    <w:rsid w:val="001D7CE6"/>
    <w:rsid w:val="001E2ED7"/>
    <w:rsid w:val="001F206F"/>
    <w:rsid w:val="001F575B"/>
    <w:rsid w:val="00210245"/>
    <w:rsid w:val="002208D1"/>
    <w:rsid w:val="00226EA1"/>
    <w:rsid w:val="002318D3"/>
    <w:rsid w:val="00234924"/>
    <w:rsid w:val="002416E4"/>
    <w:rsid w:val="00260D4C"/>
    <w:rsid w:val="0026118C"/>
    <w:rsid w:val="0027575C"/>
    <w:rsid w:val="0027786B"/>
    <w:rsid w:val="00291D6E"/>
    <w:rsid w:val="00292EBD"/>
    <w:rsid w:val="00294BBC"/>
    <w:rsid w:val="00296B8E"/>
    <w:rsid w:val="002C55EF"/>
    <w:rsid w:val="002C66A9"/>
    <w:rsid w:val="002D308A"/>
    <w:rsid w:val="002D76C7"/>
    <w:rsid w:val="002E3727"/>
    <w:rsid w:val="002E4FE2"/>
    <w:rsid w:val="002F568C"/>
    <w:rsid w:val="00300C89"/>
    <w:rsid w:val="003017B5"/>
    <w:rsid w:val="00306858"/>
    <w:rsid w:val="00317BA5"/>
    <w:rsid w:val="00327186"/>
    <w:rsid w:val="003273A0"/>
    <w:rsid w:val="00333C72"/>
    <w:rsid w:val="003378BB"/>
    <w:rsid w:val="00342B25"/>
    <w:rsid w:val="003516D8"/>
    <w:rsid w:val="00363C8A"/>
    <w:rsid w:val="0036635C"/>
    <w:rsid w:val="00370EE6"/>
    <w:rsid w:val="0037378A"/>
    <w:rsid w:val="003A0928"/>
    <w:rsid w:val="003A3E50"/>
    <w:rsid w:val="003C0372"/>
    <w:rsid w:val="003C09E5"/>
    <w:rsid w:val="003C5595"/>
    <w:rsid w:val="003D4984"/>
    <w:rsid w:val="003D75D8"/>
    <w:rsid w:val="003E3A53"/>
    <w:rsid w:val="003F19C2"/>
    <w:rsid w:val="003F2350"/>
    <w:rsid w:val="003F3FDE"/>
    <w:rsid w:val="004010DE"/>
    <w:rsid w:val="004032FB"/>
    <w:rsid w:val="004110B5"/>
    <w:rsid w:val="004123C7"/>
    <w:rsid w:val="00422640"/>
    <w:rsid w:val="004302A1"/>
    <w:rsid w:val="0043124A"/>
    <w:rsid w:val="004313FC"/>
    <w:rsid w:val="00442048"/>
    <w:rsid w:val="00442A95"/>
    <w:rsid w:val="00453D31"/>
    <w:rsid w:val="00467707"/>
    <w:rsid w:val="00473E9E"/>
    <w:rsid w:val="00495F91"/>
    <w:rsid w:val="004A6697"/>
    <w:rsid w:val="004B767E"/>
    <w:rsid w:val="004C68E3"/>
    <w:rsid w:val="004E2179"/>
    <w:rsid w:val="004E6BC3"/>
    <w:rsid w:val="004F4285"/>
    <w:rsid w:val="004F5571"/>
    <w:rsid w:val="004F58C3"/>
    <w:rsid w:val="0051217C"/>
    <w:rsid w:val="00512687"/>
    <w:rsid w:val="00520662"/>
    <w:rsid w:val="00521B19"/>
    <w:rsid w:val="00522C2B"/>
    <w:rsid w:val="00527749"/>
    <w:rsid w:val="00535357"/>
    <w:rsid w:val="00542A7E"/>
    <w:rsid w:val="00544E4E"/>
    <w:rsid w:val="005570A1"/>
    <w:rsid w:val="0056163B"/>
    <w:rsid w:val="00566E53"/>
    <w:rsid w:val="00580413"/>
    <w:rsid w:val="00583687"/>
    <w:rsid w:val="00586CAD"/>
    <w:rsid w:val="00587B3D"/>
    <w:rsid w:val="00593CE2"/>
    <w:rsid w:val="0059404E"/>
    <w:rsid w:val="00596776"/>
    <w:rsid w:val="005A449E"/>
    <w:rsid w:val="005B173E"/>
    <w:rsid w:val="005B5733"/>
    <w:rsid w:val="005C0CCC"/>
    <w:rsid w:val="005C11D4"/>
    <w:rsid w:val="005C5158"/>
    <w:rsid w:val="005C5E76"/>
    <w:rsid w:val="005D2DC9"/>
    <w:rsid w:val="005F2ABB"/>
    <w:rsid w:val="005F543C"/>
    <w:rsid w:val="00600B0E"/>
    <w:rsid w:val="006041BF"/>
    <w:rsid w:val="006049FF"/>
    <w:rsid w:val="00607452"/>
    <w:rsid w:val="0061645F"/>
    <w:rsid w:val="00622645"/>
    <w:rsid w:val="0063149B"/>
    <w:rsid w:val="0063204F"/>
    <w:rsid w:val="006347CC"/>
    <w:rsid w:val="00636D5E"/>
    <w:rsid w:val="00645367"/>
    <w:rsid w:val="006524CC"/>
    <w:rsid w:val="006606B4"/>
    <w:rsid w:val="00661857"/>
    <w:rsid w:val="00664AB5"/>
    <w:rsid w:val="00671ADE"/>
    <w:rsid w:val="00672CD1"/>
    <w:rsid w:val="00674CF8"/>
    <w:rsid w:val="006765B0"/>
    <w:rsid w:val="00680036"/>
    <w:rsid w:val="00683979"/>
    <w:rsid w:val="00684A72"/>
    <w:rsid w:val="00692D30"/>
    <w:rsid w:val="006A1FD7"/>
    <w:rsid w:val="006B1041"/>
    <w:rsid w:val="006B45BA"/>
    <w:rsid w:val="006C561E"/>
    <w:rsid w:val="006C59CF"/>
    <w:rsid w:val="006C712C"/>
    <w:rsid w:val="006D286F"/>
    <w:rsid w:val="006E09B2"/>
    <w:rsid w:val="006E1365"/>
    <w:rsid w:val="006E24A0"/>
    <w:rsid w:val="006F0C67"/>
    <w:rsid w:val="006F0FBA"/>
    <w:rsid w:val="0070053C"/>
    <w:rsid w:val="00702D0E"/>
    <w:rsid w:val="007036C7"/>
    <w:rsid w:val="007129E0"/>
    <w:rsid w:val="00720D72"/>
    <w:rsid w:val="0072141B"/>
    <w:rsid w:val="0073260C"/>
    <w:rsid w:val="0075134D"/>
    <w:rsid w:val="007522E9"/>
    <w:rsid w:val="00757974"/>
    <w:rsid w:val="007628AE"/>
    <w:rsid w:val="007652A4"/>
    <w:rsid w:val="00766A91"/>
    <w:rsid w:val="00772D88"/>
    <w:rsid w:val="00780FCF"/>
    <w:rsid w:val="0078280A"/>
    <w:rsid w:val="00784A37"/>
    <w:rsid w:val="00785DB0"/>
    <w:rsid w:val="007930FE"/>
    <w:rsid w:val="007B3B4F"/>
    <w:rsid w:val="007C638E"/>
    <w:rsid w:val="007C6B86"/>
    <w:rsid w:val="007C7967"/>
    <w:rsid w:val="007D482B"/>
    <w:rsid w:val="007E619D"/>
    <w:rsid w:val="008057E9"/>
    <w:rsid w:val="00813F66"/>
    <w:rsid w:val="00821774"/>
    <w:rsid w:val="00821DC3"/>
    <w:rsid w:val="0082552D"/>
    <w:rsid w:val="00830D77"/>
    <w:rsid w:val="008433B7"/>
    <w:rsid w:val="00855ACC"/>
    <w:rsid w:val="00856D51"/>
    <w:rsid w:val="00861455"/>
    <w:rsid w:val="00865C61"/>
    <w:rsid w:val="00872950"/>
    <w:rsid w:val="00875E2F"/>
    <w:rsid w:val="0087612F"/>
    <w:rsid w:val="00886228"/>
    <w:rsid w:val="00897A95"/>
    <w:rsid w:val="008A5554"/>
    <w:rsid w:val="008A6BA3"/>
    <w:rsid w:val="008B23C6"/>
    <w:rsid w:val="008B2BAF"/>
    <w:rsid w:val="008D2E3C"/>
    <w:rsid w:val="008D3B8B"/>
    <w:rsid w:val="008D3E1D"/>
    <w:rsid w:val="008E1C0B"/>
    <w:rsid w:val="008E1D41"/>
    <w:rsid w:val="008E6787"/>
    <w:rsid w:val="008E70CB"/>
    <w:rsid w:val="008E7B76"/>
    <w:rsid w:val="008F33CB"/>
    <w:rsid w:val="008F5BE0"/>
    <w:rsid w:val="008F7C64"/>
    <w:rsid w:val="00917BC8"/>
    <w:rsid w:val="009220F9"/>
    <w:rsid w:val="0092551F"/>
    <w:rsid w:val="00926E2E"/>
    <w:rsid w:val="00927461"/>
    <w:rsid w:val="0093309E"/>
    <w:rsid w:val="00937042"/>
    <w:rsid w:val="0094383C"/>
    <w:rsid w:val="00943B22"/>
    <w:rsid w:val="00944B14"/>
    <w:rsid w:val="00944E74"/>
    <w:rsid w:val="00947826"/>
    <w:rsid w:val="009562E2"/>
    <w:rsid w:val="00973AA2"/>
    <w:rsid w:val="009863FC"/>
    <w:rsid w:val="00986F22"/>
    <w:rsid w:val="009919E7"/>
    <w:rsid w:val="009B00CF"/>
    <w:rsid w:val="009B0F98"/>
    <w:rsid w:val="009B675E"/>
    <w:rsid w:val="009D0C50"/>
    <w:rsid w:val="009F2A2C"/>
    <w:rsid w:val="00A345E9"/>
    <w:rsid w:val="00A356A4"/>
    <w:rsid w:val="00A35FA6"/>
    <w:rsid w:val="00A451D8"/>
    <w:rsid w:val="00A5233E"/>
    <w:rsid w:val="00A96A03"/>
    <w:rsid w:val="00AA2CE2"/>
    <w:rsid w:val="00AA6617"/>
    <w:rsid w:val="00AB3DCB"/>
    <w:rsid w:val="00AB46FB"/>
    <w:rsid w:val="00AC72C1"/>
    <w:rsid w:val="00AC7D83"/>
    <w:rsid w:val="00AD0702"/>
    <w:rsid w:val="00AD1A43"/>
    <w:rsid w:val="00AD214A"/>
    <w:rsid w:val="00AD2365"/>
    <w:rsid w:val="00AE07F9"/>
    <w:rsid w:val="00AE7D40"/>
    <w:rsid w:val="00AF2BBA"/>
    <w:rsid w:val="00B04700"/>
    <w:rsid w:val="00B0681A"/>
    <w:rsid w:val="00B1086B"/>
    <w:rsid w:val="00B10E90"/>
    <w:rsid w:val="00B12D35"/>
    <w:rsid w:val="00B13BCA"/>
    <w:rsid w:val="00B152AF"/>
    <w:rsid w:val="00B44410"/>
    <w:rsid w:val="00B86C11"/>
    <w:rsid w:val="00B86E34"/>
    <w:rsid w:val="00B87FF1"/>
    <w:rsid w:val="00BA2262"/>
    <w:rsid w:val="00BB6CD5"/>
    <w:rsid w:val="00BD2B46"/>
    <w:rsid w:val="00BE3FC0"/>
    <w:rsid w:val="00BE5B8C"/>
    <w:rsid w:val="00BF0687"/>
    <w:rsid w:val="00C27890"/>
    <w:rsid w:val="00C32E21"/>
    <w:rsid w:val="00C40D62"/>
    <w:rsid w:val="00C47ED3"/>
    <w:rsid w:val="00C5528E"/>
    <w:rsid w:val="00C63E7C"/>
    <w:rsid w:val="00C7220C"/>
    <w:rsid w:val="00C76464"/>
    <w:rsid w:val="00C81028"/>
    <w:rsid w:val="00C831A6"/>
    <w:rsid w:val="00C90CE7"/>
    <w:rsid w:val="00C91E0C"/>
    <w:rsid w:val="00CA02C5"/>
    <w:rsid w:val="00CA2461"/>
    <w:rsid w:val="00CA64C2"/>
    <w:rsid w:val="00CB09E4"/>
    <w:rsid w:val="00CB0FAE"/>
    <w:rsid w:val="00CC5DCD"/>
    <w:rsid w:val="00CD164C"/>
    <w:rsid w:val="00CE3DA4"/>
    <w:rsid w:val="00CE7B4A"/>
    <w:rsid w:val="00CF119F"/>
    <w:rsid w:val="00CF4BC8"/>
    <w:rsid w:val="00D02D9E"/>
    <w:rsid w:val="00D116E5"/>
    <w:rsid w:val="00D15366"/>
    <w:rsid w:val="00D24F8E"/>
    <w:rsid w:val="00D304CE"/>
    <w:rsid w:val="00D35F1C"/>
    <w:rsid w:val="00D5377B"/>
    <w:rsid w:val="00D54CD1"/>
    <w:rsid w:val="00D67754"/>
    <w:rsid w:val="00D7217F"/>
    <w:rsid w:val="00D76733"/>
    <w:rsid w:val="00D860EA"/>
    <w:rsid w:val="00D87709"/>
    <w:rsid w:val="00D87FB9"/>
    <w:rsid w:val="00D936C4"/>
    <w:rsid w:val="00DA0847"/>
    <w:rsid w:val="00DA12EE"/>
    <w:rsid w:val="00DA30ED"/>
    <w:rsid w:val="00DB06DD"/>
    <w:rsid w:val="00DB08D6"/>
    <w:rsid w:val="00DB2AF5"/>
    <w:rsid w:val="00DB3E51"/>
    <w:rsid w:val="00DD0381"/>
    <w:rsid w:val="00DD3727"/>
    <w:rsid w:val="00DE0553"/>
    <w:rsid w:val="00DE1214"/>
    <w:rsid w:val="00DE7088"/>
    <w:rsid w:val="00DF4BBD"/>
    <w:rsid w:val="00E05A48"/>
    <w:rsid w:val="00E13F67"/>
    <w:rsid w:val="00E17316"/>
    <w:rsid w:val="00E20E11"/>
    <w:rsid w:val="00E22FF2"/>
    <w:rsid w:val="00E37205"/>
    <w:rsid w:val="00E4578F"/>
    <w:rsid w:val="00E47238"/>
    <w:rsid w:val="00E67B3E"/>
    <w:rsid w:val="00E71AB7"/>
    <w:rsid w:val="00E72C40"/>
    <w:rsid w:val="00E806DC"/>
    <w:rsid w:val="00E85895"/>
    <w:rsid w:val="00E85F10"/>
    <w:rsid w:val="00E87447"/>
    <w:rsid w:val="00EA58C3"/>
    <w:rsid w:val="00EA6C86"/>
    <w:rsid w:val="00EB080D"/>
    <w:rsid w:val="00EC21C3"/>
    <w:rsid w:val="00ED0520"/>
    <w:rsid w:val="00ED098C"/>
    <w:rsid w:val="00EE0639"/>
    <w:rsid w:val="00EE45B0"/>
    <w:rsid w:val="00EE6091"/>
    <w:rsid w:val="00F02239"/>
    <w:rsid w:val="00F03085"/>
    <w:rsid w:val="00F03531"/>
    <w:rsid w:val="00F141D2"/>
    <w:rsid w:val="00F167E5"/>
    <w:rsid w:val="00F47894"/>
    <w:rsid w:val="00F85183"/>
    <w:rsid w:val="00F93D81"/>
    <w:rsid w:val="00FA0D2B"/>
    <w:rsid w:val="00FC7B67"/>
    <w:rsid w:val="00FD1CBA"/>
    <w:rsid w:val="00FE7621"/>
    <w:rsid w:val="00FF2120"/>
    <w:rsid w:val="00FF2820"/>
    <w:rsid w:val="0CAE0E0D"/>
    <w:rsid w:val="1FD0B712"/>
    <w:rsid w:val="254D5359"/>
    <w:rsid w:val="2AC0C7B0"/>
    <w:rsid w:val="2AEE977C"/>
    <w:rsid w:val="5AF8A1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1C0E0F"/>
    <w:pPr>
      <w:numPr>
        <w:numId w:val="1"/>
      </w:numPr>
      <w:tabs>
        <w:tab w:val="left" w:pos="1225"/>
      </w:tabs>
      <w:ind w:left="454" w:hanging="227"/>
    </w:pPr>
  </w:style>
  <w:style w:type="character" w:customStyle="1" w:styleId="BulletChar">
    <w:name w:val="Bullet Char"/>
    <w:basedOn w:val="TableParagraphChar"/>
    <w:link w:val="Bullet"/>
    <w:rsid w:val="001C0E0F"/>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140346"/>
    <w:pPr>
      <w:numPr>
        <w:numId w:val="2"/>
      </w:numPr>
      <w:ind w:left="681" w:hanging="227"/>
    </w:pPr>
  </w:style>
  <w:style w:type="character" w:customStyle="1" w:styleId="BulletLevel2Char">
    <w:name w:val="Bullet Level 2 Char"/>
    <w:basedOn w:val="BulletChar"/>
    <w:link w:val="BulletLevel2"/>
    <w:rsid w:val="00140346"/>
    <w:rPr>
      <w:rFonts w:ascii="Arial" w:eastAsia="Arial" w:hAnsi="Arial" w:cs="Arial"/>
      <w:color w:val="231F20"/>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customStyle="1" w:styleId="cf01">
    <w:name w:val="cf01"/>
    <w:basedOn w:val="DefaultParagraphFont"/>
    <w:rsid w:val="003A3E50"/>
    <w:rPr>
      <w:rFonts w:ascii="Segoe UI" w:hAnsi="Segoe UI" w:cs="Segoe UI" w:hint="default"/>
      <w:sz w:val="18"/>
      <w:szCs w:val="18"/>
    </w:rPr>
  </w:style>
  <w:style w:type="paragraph" w:customStyle="1" w:styleId="BulletLevel3">
    <w:name w:val="Bullet Level 3"/>
    <w:basedOn w:val="BulletLevel2"/>
    <w:link w:val="BulletLevel3Char"/>
    <w:qFormat/>
    <w:rsid w:val="001C0E0F"/>
    <w:pPr>
      <w:numPr>
        <w:numId w:val="3"/>
      </w:numPr>
      <w:ind w:left="907" w:hanging="227"/>
    </w:pPr>
  </w:style>
  <w:style w:type="character" w:customStyle="1" w:styleId="BulletLevel3Char">
    <w:name w:val="Bullet Level 3 Char"/>
    <w:basedOn w:val="BulletLevel2Char"/>
    <w:link w:val="BulletLevel3"/>
    <w:rsid w:val="001C0E0F"/>
    <w:rPr>
      <w:rFonts w:ascii="Arial" w:eastAsia="Arial" w:hAnsi="Arial" w:cs="Arial"/>
      <w:color w:val="231F20"/>
    </w:rPr>
  </w:style>
  <w:style w:type="paragraph" w:styleId="Revision">
    <w:name w:val="Revision"/>
    <w:hidden/>
    <w:uiPriority w:val="99"/>
    <w:semiHidden/>
    <w:rsid w:val="00D87FB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MoEd-1026393692-24772</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https://educationgovtnz.sharepoint.com/sites/GRPMoEELSASecondaryTertiary-NCEAReviewandMaintenance/_layouts/15/DocIdRedir.aspx?ID=MoEd-1026393692-24772</Url>
      <Description>MoEd-1026393692-24772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4DA99F0D-BC5D-435A-843A-712AAEF8479D}">
  <ds:schemaRefs>
    <ds:schemaRef ds:uri="http://purl.org/dc/elements/1.1/"/>
    <ds:schemaRef ds:uri="http://schemas.microsoft.com/sharepoint/v3"/>
    <ds:schemaRef ds:uri="http://schemas.microsoft.com/office/2006/documentManagement/types"/>
    <ds:schemaRef ds:uri="http://purl.org/dc/dcmitype/"/>
    <ds:schemaRef ds:uri="http://www.w3.org/XML/1998/namespace"/>
    <ds:schemaRef ds:uri="http://purl.org/dc/terms/"/>
    <ds:schemaRef ds:uri="53ece4ca-2547-4740-831a-d48c281b7a6a"/>
    <ds:schemaRef ds:uri="http://schemas.microsoft.com/office/2006/metadata/properties"/>
    <ds:schemaRef ds:uri="http://schemas.microsoft.com/office/infopath/2007/PartnerControls"/>
    <ds:schemaRef ds:uri="http://schemas.openxmlformats.org/package/2006/metadata/core-properties"/>
    <ds:schemaRef ds:uri="256c2040-7c59-40d7-8063-8e42ad73f6d6"/>
  </ds:schemaRefs>
</ds:datastoreItem>
</file>

<file path=customXml/itemProps3.xml><?xml version="1.0" encoding="utf-8"?>
<ds:datastoreItem xmlns:ds="http://schemas.openxmlformats.org/officeDocument/2006/customXml" ds:itemID="{4166654E-F99D-4F0B-9BA9-8B45B6411F0D}">
  <ds:schemaRefs>
    <ds:schemaRef ds:uri="http://schemas.microsoft.com/sharepoint/v3/contenttype/forms"/>
  </ds:schemaRefs>
</ds:datastoreItem>
</file>

<file path=customXml/itemProps4.xml><?xml version="1.0" encoding="utf-8"?>
<ds:datastoreItem xmlns:ds="http://schemas.openxmlformats.org/officeDocument/2006/customXml" ds:itemID="{8B208A83-BF4C-4767-801C-8A29D6248666}">
  <ds:schemaRefs>
    <ds:schemaRef ds:uri="http://schemas.microsoft.com/sharepoint/events"/>
  </ds:schemaRefs>
</ds:datastoreItem>
</file>

<file path=customXml/itemProps5.xml><?xml version="1.0" encoding="utf-8"?>
<ds:datastoreItem xmlns:ds="http://schemas.openxmlformats.org/officeDocument/2006/customXml" ds:itemID="{21B09A42-7406-4C7E-8AD1-5F3B8B0A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6c2040-7c59-40d7-8063-8e42ad73f6d6"/>
    <ds:schemaRef ds:uri="53ece4ca-2547-4740-831a-d48c281b7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10929</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2025-09-15T08:13:00Z</dcterms:created>
  <dcterms:modified xsi:type="dcterms:W3CDTF">2025-09-15T08:14:00Z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63bd00ab,734a2462,552fb5af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1255976f,71ca3cff,198d0c34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2025-09-15T08:13:53Z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7dc2c3b3-6ab4-4b2b-96f1-180b282eb587</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38000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97dbde9d-b57e-468b-a105-c467cd256e63</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