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CF78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32ACD" wp14:editId="348DAC73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5EC44" w14:textId="4537B9A1" w:rsidR="009E3D34" w:rsidRPr="00F90787" w:rsidRDefault="00F90787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Cloze Deletion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32A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2A45EC44" w14:textId="4537B9A1" w:rsidR="009E3D34" w:rsidRPr="00F90787" w:rsidRDefault="00F90787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Cloze Deletion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E272E80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102F9A60" w14:textId="27ABF3F1" w:rsidR="008E6AE3" w:rsidRPr="00982BCE" w:rsidRDefault="00982BCE" w:rsidP="008E6AE3">
      <w:pPr>
        <w:pStyle w:val="BodyText"/>
        <w:rPr>
          <w:rStyle w:val="Bold"/>
          <w:b w:val="0"/>
          <w:bCs w:val="0"/>
        </w:rPr>
      </w:pPr>
      <w:r w:rsidRPr="00982BCE">
        <w:rPr>
          <w:b/>
          <w:bCs/>
        </w:rPr>
        <w:t>This activity supports learners to achieve Reading Outcome 1: Learners read to make sense of the written text</w:t>
      </w:r>
      <w:r w:rsidR="008E6AE3" w:rsidRPr="00982BCE">
        <w:rPr>
          <w:rStyle w:val="Bold"/>
          <w:b w:val="0"/>
          <w:bCs w:val="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571E2" w14:paraId="7B6E0499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B0E00" w14:textId="77777777" w:rsidR="002571E2" w:rsidRPr="00C2137B" w:rsidRDefault="002571E2" w:rsidP="002571E2">
            <w:pPr>
              <w:pStyle w:val="BodyText"/>
              <w:rPr>
                <w:rStyle w:val="Bold"/>
              </w:rPr>
            </w:pPr>
            <w:r w:rsidRPr="00C2137B">
              <w:rPr>
                <w:rStyle w:val="Bold"/>
              </w:rPr>
              <w:t>Significant Learning:</w:t>
            </w:r>
          </w:p>
          <w:p w14:paraId="3A6E89F9" w14:textId="15D4C43C" w:rsidR="002571E2" w:rsidRDefault="002571E2" w:rsidP="002571E2">
            <w:pPr>
              <w:pStyle w:val="Table"/>
            </w:pPr>
            <w:r w:rsidRPr="00C2137B">
              <w:t xml:space="preserve">Learners use a processing system to decode and comprehend text. Readers develop expertise in using sources of information and comprehension strategies to make sense of text.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6ADB52" w14:textId="77777777" w:rsidR="002571E2" w:rsidRPr="00C2137B" w:rsidRDefault="002571E2" w:rsidP="002571E2">
            <w:pPr>
              <w:pStyle w:val="BodyText"/>
              <w:rPr>
                <w:rStyle w:val="Bold"/>
              </w:rPr>
            </w:pPr>
            <w:r w:rsidRPr="00C2137B">
              <w:rPr>
                <w:rStyle w:val="Bold"/>
              </w:rPr>
              <w:t>Purpose:</w:t>
            </w:r>
          </w:p>
          <w:p w14:paraId="616C8CCA" w14:textId="77777777" w:rsidR="002571E2" w:rsidRPr="00C2137B" w:rsidRDefault="002571E2" w:rsidP="002571E2">
            <w:pPr>
              <w:pStyle w:val="BodyText"/>
            </w:pPr>
            <w:r>
              <w:t>Ākonga</w:t>
            </w:r>
            <w:r w:rsidRPr="00C2137B">
              <w:t xml:space="preserve"> use the context clues in a piece of writing to work out the meaning of unknown words and the correct structure of sentences. </w:t>
            </w:r>
          </w:p>
          <w:p w14:paraId="1FBB9C75" w14:textId="1E78E80C" w:rsidR="002571E2" w:rsidRDefault="002571E2" w:rsidP="002571E2">
            <w:pPr>
              <w:pStyle w:val="Table"/>
            </w:pPr>
          </w:p>
        </w:tc>
      </w:tr>
      <w:tr w:rsidR="002571E2" w14:paraId="14F53CEB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45C77F" w14:textId="77777777" w:rsidR="002571E2" w:rsidRPr="00C2137B" w:rsidRDefault="002571E2" w:rsidP="002571E2">
            <w:pPr>
              <w:pStyle w:val="BodyText"/>
            </w:pPr>
            <w:r w:rsidRPr="00C2137B">
              <w:t>Application:</w:t>
            </w:r>
          </w:p>
          <w:p w14:paraId="6BBB022E" w14:textId="6E034A58" w:rsidR="002571E2" w:rsidRDefault="002571E2" w:rsidP="002571E2">
            <w:pPr>
              <w:pStyle w:val="Table"/>
            </w:pPr>
            <w:r w:rsidRPr="00C2137B">
              <w:t>At any time during a</w:t>
            </w:r>
            <w:r>
              <w:t xml:space="preserve">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E2743F" w14:textId="77777777" w:rsidR="002571E2" w:rsidRPr="00C2137B" w:rsidRDefault="002571E2" w:rsidP="002571E2">
            <w:pPr>
              <w:pStyle w:val="BodyText"/>
            </w:pPr>
            <w:r w:rsidRPr="00C2137B">
              <w:t>Source:</w:t>
            </w:r>
          </w:p>
          <w:p w14:paraId="48AFA261" w14:textId="3C9285BB" w:rsidR="002571E2" w:rsidRDefault="002571E2" w:rsidP="002571E2">
            <w:pPr>
              <w:pStyle w:val="Table"/>
            </w:pPr>
            <w:hyperlink r:id="rId13" w:history="1">
              <w:r w:rsidRPr="00C2137B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C2137B">
                <w:rPr>
                  <w:rStyle w:val="Hyperlink"/>
                </w:rPr>
                <w:t>Years 9-13</w:t>
              </w:r>
            </w:hyperlink>
            <w:r w:rsidRPr="00C2137B">
              <w:t xml:space="preserve">   p36</w:t>
            </w:r>
          </w:p>
        </w:tc>
      </w:tr>
      <w:tr w:rsidR="008E6AE3" w14:paraId="478E25D8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967A4A" w14:textId="77777777" w:rsidR="00D3213E" w:rsidRPr="00C2137B" w:rsidRDefault="00D3213E" w:rsidP="00D3213E">
            <w:pPr>
              <w:pStyle w:val="BodyText"/>
              <w:rPr>
                <w:b/>
                <w:bCs/>
              </w:rPr>
            </w:pPr>
            <w:r w:rsidRPr="00C2137B">
              <w:rPr>
                <w:rStyle w:val="Bold"/>
              </w:rPr>
              <w:t>Instructions:</w:t>
            </w:r>
          </w:p>
          <w:p w14:paraId="2CDE4113" w14:textId="77777777" w:rsidR="00D3213E" w:rsidRPr="00C2137B" w:rsidRDefault="00D3213E" w:rsidP="00D3213E">
            <w:pPr>
              <w:pStyle w:val="Tablenumber"/>
              <w:numPr>
                <w:ilvl w:val="0"/>
                <w:numId w:val="47"/>
              </w:numPr>
              <w:spacing w:after="40"/>
            </w:pPr>
            <w:r w:rsidRPr="00C2137B">
              <w:t>Choose an appropriate text and delete a variety of words that are high frequency words i.e. not subject-specific, making sure that there are clues in the text for each of the deleted words.</w:t>
            </w:r>
          </w:p>
          <w:p w14:paraId="657347B9" w14:textId="77777777" w:rsidR="00D3213E" w:rsidRPr="00C2137B" w:rsidRDefault="00D3213E" w:rsidP="00D3213E">
            <w:pPr>
              <w:pStyle w:val="Tablenumber"/>
              <w:spacing w:after="40"/>
            </w:pPr>
            <w:r w:rsidRPr="00C2137B">
              <w:t>Delete words that signal the order of ideas e.g. lastly, subsequently, because</w:t>
            </w:r>
          </w:p>
          <w:p w14:paraId="12936B89" w14:textId="77777777" w:rsidR="00D3213E" w:rsidRPr="00C2137B" w:rsidRDefault="00D3213E" w:rsidP="00D3213E">
            <w:pPr>
              <w:pStyle w:val="Tablenumber"/>
              <w:spacing w:after="40"/>
            </w:pPr>
            <w:r w:rsidRPr="00C2137B">
              <w:t>Delete some words where there could be more than once answer as this will promote discussion.</w:t>
            </w:r>
          </w:p>
          <w:p w14:paraId="3C912CC1" w14:textId="77777777" w:rsidR="00D3213E" w:rsidRPr="00C2137B" w:rsidRDefault="00D3213E" w:rsidP="00D3213E">
            <w:pPr>
              <w:pStyle w:val="Tablenumber"/>
              <w:spacing w:after="40"/>
            </w:pPr>
            <w:r w:rsidRPr="00C2137B">
              <w:t xml:space="preserve">Give each </w:t>
            </w:r>
            <w:r>
              <w:t>ākonga</w:t>
            </w:r>
            <w:r w:rsidRPr="00C2137B">
              <w:t xml:space="preserve"> a copy of the prepared text and discuss with them the clues they could use to identify the deleted words. </w:t>
            </w:r>
            <w:r>
              <w:t>Ākonga</w:t>
            </w:r>
            <w:r w:rsidRPr="00C2137B">
              <w:t xml:space="preserve"> then work by themselves to fill in the gaps.</w:t>
            </w:r>
          </w:p>
          <w:p w14:paraId="286EB49E" w14:textId="77777777" w:rsidR="00D3213E" w:rsidRPr="00C2137B" w:rsidRDefault="00D3213E" w:rsidP="00D3213E">
            <w:pPr>
              <w:pStyle w:val="Tablenumber"/>
              <w:spacing w:after="40"/>
            </w:pPr>
            <w:r w:rsidRPr="00C2137B">
              <w:t xml:space="preserve">Arrange </w:t>
            </w:r>
            <w:r>
              <w:t>ākonga</w:t>
            </w:r>
            <w:r w:rsidRPr="00C2137B">
              <w:t xml:space="preserve"> into pairs or small groups to discuss their answers and debate/change any they feel have better alternatives. </w:t>
            </w:r>
          </w:p>
          <w:p w14:paraId="07399823" w14:textId="3A13D655" w:rsidR="008E6AE3" w:rsidRDefault="00D3213E" w:rsidP="00D3213E">
            <w:pPr>
              <w:pStyle w:val="Tablenumber"/>
            </w:pPr>
            <w:r w:rsidRPr="00C2137B">
              <w:t>Discuss answers as a class, explaining clues and possible alternatives.</w:t>
            </w:r>
          </w:p>
        </w:tc>
      </w:tr>
      <w:tr w:rsidR="00D3213E" w14:paraId="70E5044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E2CBA0" w14:textId="77777777" w:rsidR="000C13D0" w:rsidRPr="00EE02F9" w:rsidRDefault="000C13D0" w:rsidP="000C13D0">
            <w:pPr>
              <w:pStyle w:val="BodyText"/>
              <w:rPr>
                <w:b/>
                <w:bCs/>
              </w:rPr>
            </w:pPr>
            <w:r w:rsidRPr="00C2137B">
              <w:rPr>
                <w:rStyle w:val="Bold"/>
              </w:rPr>
              <w:t>Other uses:</w:t>
            </w:r>
          </w:p>
          <w:p w14:paraId="4C9E530D" w14:textId="750B0AC7" w:rsidR="00D3213E" w:rsidRPr="00C2137B" w:rsidRDefault="000C13D0" w:rsidP="000C13D0">
            <w:pPr>
              <w:pStyle w:val="BodyText"/>
              <w:rPr>
                <w:rStyle w:val="Bold"/>
              </w:rPr>
            </w:pPr>
            <w:r w:rsidRPr="00C2137B">
              <w:t xml:space="preserve">Once </w:t>
            </w:r>
            <w:r>
              <w:t>ākonga</w:t>
            </w:r>
            <w:r w:rsidRPr="00C2137B">
              <w:t xml:space="preserve"> are used to this strategy remind them when they are reading a text with unknown words to read around the word for context and see if they can work out the meaning</w:t>
            </w:r>
            <w:r>
              <w:t>.</w:t>
            </w:r>
          </w:p>
        </w:tc>
      </w:tr>
    </w:tbl>
    <w:p w14:paraId="334EB2FA" w14:textId="77777777" w:rsidR="008E6AE3" w:rsidRDefault="008E6AE3" w:rsidP="008E6AE3">
      <w:pPr>
        <w:rPr>
          <w:lang w:val="en-US"/>
        </w:rPr>
      </w:pPr>
    </w:p>
    <w:p w14:paraId="6D34DCB0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6AC1" w14:textId="77777777" w:rsidR="003D50B3" w:rsidRDefault="003D50B3" w:rsidP="0021141C">
      <w:r>
        <w:separator/>
      </w:r>
    </w:p>
    <w:p w14:paraId="2C976D6B" w14:textId="77777777" w:rsidR="003D50B3" w:rsidRDefault="003D50B3"/>
  </w:endnote>
  <w:endnote w:type="continuationSeparator" w:id="0">
    <w:p w14:paraId="5D50E0A7" w14:textId="77777777" w:rsidR="003D50B3" w:rsidRDefault="003D50B3" w:rsidP="0021141C">
      <w:r>
        <w:continuationSeparator/>
      </w:r>
    </w:p>
    <w:p w14:paraId="02C752A5" w14:textId="77777777" w:rsidR="003D50B3" w:rsidRDefault="003D50B3"/>
  </w:endnote>
  <w:endnote w:type="continuationNotice" w:id="1">
    <w:p w14:paraId="0874467E" w14:textId="77777777" w:rsidR="003D50B3" w:rsidRDefault="003D50B3"/>
    <w:p w14:paraId="6FC0F636" w14:textId="77777777" w:rsidR="003D50B3" w:rsidRDefault="003D5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AE7B" w14:textId="72AC1738" w:rsidR="00A267BB" w:rsidRDefault="00F90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03C025" wp14:editId="00956A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2464961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244D9" w14:textId="34480F27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3C0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F244D9" w14:textId="34480F27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035BFB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227C" w14:textId="364E6E89" w:rsidR="00AE1386" w:rsidRPr="007E3514" w:rsidRDefault="00F90787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F3422D" wp14:editId="11075E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34568277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237A8" w14:textId="120DFDAD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342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B237A8" w14:textId="120DFDAD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D30D" w14:textId="2D8E6176" w:rsidR="00AE1386" w:rsidRPr="006C15CF" w:rsidRDefault="00F90787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3DA4E3" wp14:editId="18D7825A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745231607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54753" w14:textId="493E0ED9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DA4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754753" w14:textId="493E0ED9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D714" w14:textId="77777777" w:rsidR="003D50B3" w:rsidRDefault="003D50B3" w:rsidP="0021141C">
      <w:r>
        <w:separator/>
      </w:r>
    </w:p>
    <w:p w14:paraId="267ACC52" w14:textId="77777777" w:rsidR="003D50B3" w:rsidRDefault="003D50B3"/>
  </w:footnote>
  <w:footnote w:type="continuationSeparator" w:id="0">
    <w:p w14:paraId="3DAD8122" w14:textId="77777777" w:rsidR="003D50B3" w:rsidRDefault="003D50B3" w:rsidP="0021141C">
      <w:r>
        <w:continuationSeparator/>
      </w:r>
    </w:p>
    <w:p w14:paraId="443FBC75" w14:textId="77777777" w:rsidR="003D50B3" w:rsidRDefault="003D50B3"/>
  </w:footnote>
  <w:footnote w:type="continuationNotice" w:id="1">
    <w:p w14:paraId="61B0FEAE" w14:textId="77777777" w:rsidR="003D50B3" w:rsidRDefault="003D50B3"/>
    <w:p w14:paraId="5E273CDD" w14:textId="77777777" w:rsidR="003D50B3" w:rsidRDefault="003D5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D8D8" w14:textId="2835791E" w:rsidR="00A267BB" w:rsidRDefault="00F90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742A99" wp14:editId="00E85C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41453785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67931" w14:textId="7A0440F0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42A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7267931" w14:textId="7A0440F0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CAC5AA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30BE" w14:textId="3546188A" w:rsidR="00A267BB" w:rsidRDefault="00F90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84690" wp14:editId="699AD3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4303916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79562" w14:textId="7ADAA052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846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2679562" w14:textId="7ADAA052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2AEEF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AF10" w14:textId="5677FFA4" w:rsidR="00400A3B" w:rsidRDefault="00F90787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4970C5F" wp14:editId="6C9F5D58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75311836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C3ABD" w14:textId="5C365520" w:rsidR="00F90787" w:rsidRPr="00F90787" w:rsidRDefault="00F90787" w:rsidP="00F907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70C5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C0C3ABD" w14:textId="5C365520" w:rsidR="00F90787" w:rsidRPr="00F90787" w:rsidRDefault="00F90787" w:rsidP="00F907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7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3558DA1F" wp14:editId="2CB4AC62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2E310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1288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87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13D0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571E2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D50B3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BCE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213E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0787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48AF9"/>
  <w15:chartTrackingRefBased/>
  <w15:docId w15:val="{C09171E6-D7EC-4E5A-8712-83C4CCA5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1</TotalTime>
  <Pages>1</Pages>
  <Words>261</Words>
  <Characters>1494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2026-04-22T03:08:00Z</dcterms:created>
  <dcterms:modified xsi:type="dcterms:W3CDTF">2026-04-22T03:10:00Z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687e769b,18b5587c,6dda8bc1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2c6b54f7,5ae04e92,67636955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2026-04-22T03:09:52Z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1220274d-5d8c-470e-8abc-ab227c99c717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